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388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Malays.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Appl.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Biol.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(2021)</w:t>
      </w:r>
      <w:r>
        <w:rPr>
          <w:i/>
          <w:color w:val="231F20"/>
          <w:spacing w:val="63"/>
          <w:sz w:val="16"/>
        </w:rPr>
        <w:t> </w:t>
      </w:r>
      <w:r>
        <w:rPr>
          <w:i/>
          <w:color w:val="231F20"/>
          <w:sz w:val="16"/>
        </w:rPr>
        <w:t>50(2):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37–45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Title"/>
        <w:spacing w:line="249" w:lineRule="auto"/>
      </w:pP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INFLUENCING</w:t>
      </w:r>
      <w:r>
        <w:rPr>
          <w:color w:val="231F20"/>
          <w:spacing w:val="1"/>
        </w:rPr>
        <w:t> </w:t>
      </w:r>
      <w:r>
        <w:rPr>
          <w:color w:val="231F20"/>
        </w:rPr>
        <w:t>INSTRUMENTAL 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67"/>
        </w:rPr>
        <w:t> </w:t>
      </w:r>
      <w:r>
        <w:rPr>
          <w:color w:val="231F20"/>
        </w:rPr>
        <w:t>DAILY</w:t>
      </w:r>
      <w:r>
        <w:rPr>
          <w:color w:val="231F20"/>
          <w:spacing w:val="3"/>
        </w:rPr>
        <w:t> </w:t>
      </w:r>
      <w:r>
        <w:rPr>
          <w:color w:val="231F20"/>
        </w:rPr>
        <w:t>LIVING</w:t>
      </w:r>
      <w:r>
        <w:rPr>
          <w:color w:val="231F20"/>
          <w:spacing w:val="7"/>
        </w:rPr>
        <w:t> </w:t>
      </w:r>
      <w:r>
        <w:rPr>
          <w:color w:val="231F20"/>
        </w:rPr>
        <w:t>(IADL)</w:t>
      </w:r>
      <w:r>
        <w:rPr>
          <w:color w:val="231F20"/>
          <w:spacing w:val="14"/>
        </w:rPr>
        <w:t> </w:t>
      </w:r>
      <w:r>
        <w:rPr>
          <w:color w:val="231F20"/>
        </w:rPr>
        <w:t>DISABILITY</w:t>
      </w:r>
      <w:r>
        <w:rPr>
          <w:color w:val="231F20"/>
          <w:spacing w:val="-5"/>
        </w:rPr>
        <w:t> </w:t>
      </w:r>
      <w:r>
        <w:rPr>
          <w:color w:val="231F20"/>
        </w:rPr>
        <w:t>AMONG</w:t>
      </w:r>
      <w:r>
        <w:rPr>
          <w:color w:val="231F20"/>
          <w:spacing w:val="7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ATTENDING</w:t>
      </w:r>
      <w:r>
        <w:rPr>
          <w:color w:val="231F20"/>
          <w:spacing w:val="30"/>
        </w:rPr>
        <w:t> </w:t>
      </w:r>
      <w:r>
        <w:rPr>
          <w:color w:val="231F20"/>
        </w:rPr>
        <w:t>HEALTH</w:t>
      </w:r>
      <w:r>
        <w:rPr>
          <w:color w:val="231F20"/>
          <w:spacing w:val="37"/>
        </w:rPr>
        <w:t> </w:t>
      </w:r>
      <w:r>
        <w:rPr>
          <w:color w:val="231F20"/>
        </w:rPr>
        <w:t>CLINICS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KELANTAN</w:t>
      </w:r>
    </w:p>
    <w:p>
      <w:pPr>
        <w:pStyle w:val="BodyText"/>
        <w:spacing w:before="7"/>
        <w:rPr>
          <w:b/>
          <w:sz w:val="42"/>
        </w:rPr>
      </w:pPr>
    </w:p>
    <w:p>
      <w:pPr>
        <w:pStyle w:val="BodyText"/>
        <w:spacing w:line="247" w:lineRule="auto"/>
        <w:ind w:left="1809" w:right="1543"/>
        <w:jc w:val="center"/>
        <w:rPr>
          <w:sz w:val="14"/>
        </w:rPr>
      </w:pPr>
      <w:r>
        <w:rPr>
          <w:color w:val="231F20"/>
          <w:spacing w:val="-3"/>
        </w:rPr>
        <w:t>NUR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RAIHAN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ISMAIL</w:t>
      </w:r>
      <w:r>
        <w:rPr>
          <w:color w:val="231F20"/>
          <w:spacing w:val="-3"/>
          <w:position w:val="6"/>
          <w:sz w:val="14"/>
        </w:rPr>
        <w:t>1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ANEES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ABDUL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HAMID</w:t>
      </w:r>
      <w:r>
        <w:rPr>
          <w:color w:val="231F20"/>
          <w:spacing w:val="-3"/>
          <w:position w:val="6"/>
          <w:sz w:val="14"/>
        </w:rPr>
        <w:t>2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ASRENEE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AB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RAZAK</w:t>
      </w:r>
      <w:r>
        <w:rPr>
          <w:color w:val="231F20"/>
          <w:spacing w:val="-2"/>
          <w:position w:val="6"/>
          <w:sz w:val="14"/>
        </w:rPr>
        <w:t>3</w:t>
      </w:r>
      <w:r>
        <w:rPr>
          <w:color w:val="231F20"/>
          <w:spacing w:val="-32"/>
          <w:position w:val="6"/>
          <w:sz w:val="14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NOOR</w:t>
      </w:r>
      <w:r>
        <w:rPr>
          <w:color w:val="231F20"/>
          <w:spacing w:val="-2"/>
        </w:rPr>
        <w:t> </w:t>
      </w:r>
      <w:r>
        <w:rPr>
          <w:color w:val="231F20"/>
        </w:rPr>
        <w:t>AMAN</w:t>
      </w:r>
      <w:r>
        <w:rPr>
          <w:color w:val="231F20"/>
          <w:spacing w:val="-2"/>
        </w:rPr>
        <w:t> </w:t>
      </w:r>
      <w:r>
        <w:rPr>
          <w:color w:val="231F20"/>
        </w:rPr>
        <w:t>HAMID</w:t>
      </w:r>
      <w:r>
        <w:rPr>
          <w:color w:val="231F20"/>
          <w:position w:val="6"/>
          <w:sz w:val="14"/>
        </w:rPr>
        <w:t>1</w:t>
      </w:r>
    </w:p>
    <w:p>
      <w:pPr>
        <w:pStyle w:val="BodyText"/>
        <w:spacing w:before="8"/>
      </w:pPr>
    </w:p>
    <w:p>
      <w:pPr>
        <w:spacing w:line="249" w:lineRule="auto" w:before="1"/>
        <w:ind w:left="2193" w:right="1926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1</w:t>
      </w:r>
      <w:r>
        <w:rPr>
          <w:i/>
          <w:color w:val="231F20"/>
          <w:sz w:val="20"/>
        </w:rPr>
        <w:t>Department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Community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Medicine,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School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Medical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Sciences,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Universiti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Sains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Malaysia,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Kubang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Kerian,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Malaysia</w:t>
      </w:r>
    </w:p>
    <w:p>
      <w:pPr>
        <w:spacing w:line="247" w:lineRule="auto" w:before="0"/>
        <w:ind w:left="1809" w:right="1542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2</w:t>
      </w:r>
      <w:r>
        <w:rPr>
          <w:i/>
          <w:color w:val="231F20"/>
          <w:sz w:val="20"/>
        </w:rPr>
        <w:t>Primary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Care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Unit,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Kelantan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State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Department,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Malaysia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position w:val="6"/>
          <w:sz w:val="14"/>
        </w:rPr>
        <w:t>3</w:t>
      </w:r>
      <w:r>
        <w:rPr>
          <w:i/>
          <w:color w:val="231F20"/>
          <w:sz w:val="20"/>
        </w:rPr>
        <w:t>Department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Psychiatry,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School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Medical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Sciences,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Health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Campus,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Universiti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Sains</w:t>
      </w:r>
      <w:r>
        <w:rPr>
          <w:i/>
          <w:color w:val="231F20"/>
          <w:spacing w:val="26"/>
          <w:sz w:val="20"/>
        </w:rPr>
        <w:t> </w:t>
      </w:r>
      <w:r>
        <w:rPr>
          <w:i/>
          <w:color w:val="231F20"/>
          <w:sz w:val="20"/>
        </w:rPr>
        <w:t>Malaysia,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Malaysia</w:t>
      </w:r>
    </w:p>
    <w:p>
      <w:pPr>
        <w:spacing w:before="0"/>
        <w:ind w:left="962" w:right="697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*</w:t>
      </w:r>
      <w:r>
        <w:rPr>
          <w:i/>
          <w:color w:val="231F20"/>
          <w:sz w:val="20"/>
        </w:rPr>
        <w:t>E-mail:</w:t>
      </w:r>
      <w:r>
        <w:rPr>
          <w:i/>
          <w:color w:val="231F20"/>
          <w:spacing w:val="8"/>
          <w:sz w:val="20"/>
        </w:rPr>
        <w:t> </w:t>
      </w:r>
      <w:hyperlink r:id="rId6">
        <w:r>
          <w:rPr>
            <w:i/>
            <w:color w:val="231F20"/>
            <w:sz w:val="20"/>
          </w:rPr>
          <w:t>na</w:t>
        </w:r>
        <w:r>
          <w:rPr>
            <w:color w:val="231F20"/>
            <w:sz w:val="20"/>
          </w:rPr>
          <w:t>.</w:t>
        </w:r>
        <w:r>
          <w:rPr>
            <w:i/>
            <w:color w:val="231F20"/>
            <w:sz w:val="20"/>
          </w:rPr>
          <w:t>hamid@usm</w:t>
        </w:r>
        <w:r>
          <w:rPr>
            <w:color w:val="231F20"/>
            <w:sz w:val="20"/>
          </w:rPr>
          <w:t>.</w:t>
        </w:r>
        <w:r>
          <w:rPr>
            <w:i/>
            <w:color w:val="231F20"/>
            <w:sz w:val="20"/>
          </w:rPr>
          <w:t>my</w:t>
        </w:r>
      </w:hyperlink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958" w:right="697"/>
        <w:jc w:val="center"/>
      </w:pPr>
      <w:r>
        <w:rPr>
          <w:color w:val="231F20"/>
        </w:rPr>
        <w:t>Accepted</w:t>
      </w:r>
      <w:r>
        <w:rPr>
          <w:color w:val="231F20"/>
          <w:spacing w:val="-7"/>
        </w:rPr>
        <w:t> </w:t>
      </w:r>
      <w:r>
        <w:rPr>
          <w:color w:val="231F20"/>
        </w:rPr>
        <w:t>4</w:t>
      </w:r>
      <w:r>
        <w:rPr>
          <w:color w:val="231F20"/>
          <w:spacing w:val="-7"/>
        </w:rPr>
        <w:t> </w:t>
      </w:r>
      <w:r>
        <w:rPr>
          <w:color w:val="231F20"/>
        </w:rPr>
        <w:t>November</w:t>
      </w:r>
      <w:r>
        <w:rPr>
          <w:color w:val="231F20"/>
          <w:spacing w:val="-6"/>
        </w:rPr>
        <w:t> </w:t>
      </w:r>
      <w:r>
        <w:rPr>
          <w:color w:val="231F20"/>
        </w:rPr>
        <w:t>2021,</w:t>
      </w:r>
      <w:r>
        <w:rPr>
          <w:color w:val="231F20"/>
          <w:spacing w:val="-7"/>
        </w:rPr>
        <w:t> </w:t>
      </w:r>
      <w:r>
        <w:rPr>
          <w:color w:val="231F20"/>
        </w:rPr>
        <w:t>Published</w:t>
      </w:r>
      <w:r>
        <w:rPr>
          <w:color w:val="231F20"/>
          <w:spacing w:val="-6"/>
        </w:rPr>
        <w:t> </w:t>
      </w:r>
      <w:r>
        <w:rPr>
          <w:color w:val="231F20"/>
        </w:rPr>
        <w:t>online</w:t>
      </w:r>
      <w:r>
        <w:rPr>
          <w:color w:val="231F20"/>
          <w:spacing w:val="-7"/>
        </w:rPr>
        <w:t> </w:t>
      </w:r>
      <w:r>
        <w:rPr>
          <w:color w:val="231F20"/>
        </w:rPr>
        <w:t>30</w:t>
      </w:r>
      <w:r>
        <w:rPr>
          <w:color w:val="231F20"/>
          <w:spacing w:val="-7"/>
        </w:rPr>
        <w:t> </w:t>
      </w:r>
      <w:r>
        <w:rPr>
          <w:color w:val="231F20"/>
        </w:rPr>
        <w:t>November</w:t>
      </w:r>
      <w:r>
        <w:rPr>
          <w:color w:val="231F20"/>
          <w:spacing w:val="-6"/>
        </w:rPr>
        <w:t> </w:t>
      </w:r>
      <w:r>
        <w:rPr>
          <w:color w:val="231F20"/>
        </w:rPr>
        <w:t>2021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955" w:right="697"/>
        <w:jc w:val="center"/>
      </w:pPr>
      <w:r>
        <w:rPr>
          <w:color w:val="231F20"/>
        </w:rPr>
        <w:t>ABSTRACT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49" w:lineRule="auto" w:before="0"/>
        <w:ind w:left="388" w:right="115" w:firstLine="0"/>
        <w:jc w:val="both"/>
        <w:rPr>
          <w:sz w:val="18"/>
        </w:rPr>
      </w:pPr>
      <w:r>
        <w:rPr>
          <w:color w:val="231F20"/>
          <w:sz w:val="18"/>
        </w:rPr>
        <w:t>Instrumental activities of daily living (IADL) is a construct that describes the functional ability to perform complex activities,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requiring physical and mental capability that allows an elderly to live independently. Studies on IADL in Malaysia are still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lacking.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Thus,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this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study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aimed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determine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factors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influencing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IADL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disability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among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elderly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attending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clinics in Kelantan. A cross-sectional study was conducted using a guided questionnaire consisting of sociodemographic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characteristics, health-related conditions, Lawton IADL scale, Elderly Cognitive Assessment Questionnaire (ECAQ), Geriatric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Depression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Scale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(GDS),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Duke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Social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Index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(DSSI).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Multiple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logistic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regression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(MLR)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performed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assess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factors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influencing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IADL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disability.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Disabled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IADL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status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defined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as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having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difficulty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performing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least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out of eight activities on the Lawton IADL scale. A sample of 248 elderly from 12 health clinics in Kelantan was included,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36.3% of them had disabled IADL status. In the final MLR model, factors influencing IADL disability were, age group 70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years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old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above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(Adj.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3.52;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95%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CI: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1.85,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6.69,</w:t>
      </w:r>
      <w:r>
        <w:rPr>
          <w:color w:val="231F20"/>
          <w:spacing w:val="21"/>
          <w:sz w:val="18"/>
        </w:rPr>
        <w:t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-value&lt;0.001),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being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unmarried/single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(Adj.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2.37;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95%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CI:</w:t>
      </w:r>
    </w:p>
    <w:p>
      <w:pPr>
        <w:spacing w:line="249" w:lineRule="auto" w:before="7"/>
        <w:ind w:left="388" w:right="117" w:hanging="1"/>
        <w:jc w:val="both"/>
        <w:rPr>
          <w:sz w:val="18"/>
        </w:rPr>
      </w:pPr>
      <w:r>
        <w:rPr>
          <w:color w:val="231F20"/>
          <w:sz w:val="18"/>
        </w:rPr>
        <w:t>1.25,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4.49,</w:t>
      </w:r>
      <w:r>
        <w:rPr>
          <w:color w:val="231F20"/>
          <w:spacing w:val="22"/>
          <w:sz w:val="18"/>
        </w:rPr>
        <w:t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-value=0.008),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formal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education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(Adj.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4.03;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95%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CI: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1.64,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9.88,</w:t>
      </w:r>
      <w:r>
        <w:rPr>
          <w:color w:val="231F20"/>
          <w:spacing w:val="22"/>
          <w:sz w:val="18"/>
        </w:rPr>
        <w:t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-value=0.002),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low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level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income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(Adj.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2.37;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95%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CI: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1.11,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5.07,</w:t>
      </w:r>
      <w:r>
        <w:rPr>
          <w:color w:val="231F20"/>
          <w:spacing w:val="23"/>
          <w:sz w:val="18"/>
        </w:rPr>
        <w:t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-value=0.026)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those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who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reported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fair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poor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self-rated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health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status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(Adj.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2.53;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95%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CI: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1.31,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4.89,</w:t>
      </w:r>
      <w:r>
        <w:rPr>
          <w:color w:val="231F20"/>
          <w:spacing w:val="38"/>
          <w:sz w:val="18"/>
        </w:rPr>
        <w:t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-value=0.006).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Therefore,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recognition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these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factors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critical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promote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better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policy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appropriate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care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elderly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country.</w:t>
      </w:r>
    </w:p>
    <w:p>
      <w:pPr>
        <w:pStyle w:val="BodyText"/>
        <w:spacing w:before="10"/>
      </w:pPr>
    </w:p>
    <w:p>
      <w:pPr>
        <w:pStyle w:val="BodyText"/>
        <w:spacing w:before="1"/>
        <w:ind w:left="388"/>
        <w:jc w:val="both"/>
      </w:pPr>
      <w:r>
        <w:rPr>
          <w:b/>
          <w:color w:val="231F20"/>
        </w:rPr>
        <w:t>Key</w:t>
      </w:r>
      <w:r>
        <w:rPr>
          <w:b/>
          <w:color w:val="231F20"/>
          <w:spacing w:val="-8"/>
        </w:rPr>
        <w:t> </w:t>
      </w:r>
      <w:r>
        <w:rPr>
          <w:b/>
          <w:color w:val="231F20"/>
        </w:rPr>
        <w:t>words: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Aging,</w:t>
      </w:r>
      <w:r>
        <w:rPr>
          <w:color w:val="231F20"/>
          <w:spacing w:val="-6"/>
        </w:rPr>
        <w:t> </w:t>
      </w:r>
      <w:r>
        <w:rPr>
          <w:color w:val="231F20"/>
        </w:rPr>
        <w:t>disability,</w:t>
      </w:r>
      <w:r>
        <w:rPr>
          <w:color w:val="231F20"/>
          <w:spacing w:val="-6"/>
        </w:rPr>
        <w:t> </w:t>
      </w:r>
      <w:r>
        <w:rPr>
          <w:color w:val="231F20"/>
        </w:rPr>
        <w:t>factors,</w:t>
      </w:r>
      <w:r>
        <w:rPr>
          <w:color w:val="231F20"/>
          <w:spacing w:val="-6"/>
        </w:rPr>
        <w:t> </w:t>
      </w:r>
      <w:r>
        <w:rPr>
          <w:color w:val="231F20"/>
        </w:rPr>
        <w:t>IADL,</w:t>
      </w:r>
      <w:r>
        <w:rPr>
          <w:color w:val="231F20"/>
          <w:spacing w:val="-6"/>
        </w:rPr>
        <w:t> </w:t>
      </w:r>
      <w:r>
        <w:rPr>
          <w:color w:val="231F20"/>
        </w:rPr>
        <w:t>Lawton</w:t>
      </w:r>
      <w:r>
        <w:rPr>
          <w:color w:val="231F20"/>
          <w:spacing w:val="-6"/>
        </w:rPr>
        <w:t> </w:t>
      </w:r>
      <w:r>
        <w:rPr>
          <w:color w:val="231F20"/>
        </w:rPr>
        <w:t>scale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76.400002pt;margin-top:6.878682pt;width:456.4pt;height:.1pt;mso-position-horizontal-relative:page;mso-position-vertical-relative:paragraph;z-index:-15728640;mso-wrap-distance-left:0;mso-wrap-distance-right:0" id="docshape1" coordorigin="1528,138" coordsize="9128,0" path="m1528,138l10656,138e" filled="false" stroked="true" strokeweight=".99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00" w:h="16840"/>
          <w:pgMar w:footer="0" w:header="0" w:top="820" w:bottom="280" w:left="1140" w:right="1120"/>
          <w:pgNumType w:start="37"/>
        </w:sectPr>
      </w:pPr>
    </w:p>
    <w:p>
      <w:pPr>
        <w:pStyle w:val="Heading1"/>
        <w:spacing w:before="91"/>
        <w:ind w:left="388"/>
      </w:pPr>
      <w:r>
        <w:rPr>
          <w:color w:val="231F20"/>
        </w:rPr>
        <w:t>INTRODUCTION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387" w:right="38"/>
        <w:jc w:val="both"/>
      </w:pPr>
      <w:r>
        <w:rPr>
          <w:color w:val="231F20"/>
        </w:rPr>
        <w:t>The world’s population today is heading towards an</w:t>
      </w:r>
      <w:r>
        <w:rPr>
          <w:color w:val="231F20"/>
          <w:spacing w:val="1"/>
        </w:rPr>
        <w:t> </w:t>
      </w:r>
      <w:r>
        <w:rPr>
          <w:color w:val="231F20"/>
        </w:rPr>
        <w:t>aging</w:t>
      </w:r>
      <w:r>
        <w:rPr>
          <w:color w:val="231F20"/>
          <w:spacing w:val="-13"/>
        </w:rPr>
        <w:t> </w:t>
      </w:r>
      <w:r>
        <w:rPr>
          <w:color w:val="231F20"/>
        </w:rPr>
        <w:t>society.</w:t>
      </w:r>
      <w:r>
        <w:rPr>
          <w:color w:val="231F20"/>
          <w:spacing w:val="-12"/>
        </w:rPr>
        <w:t> </w:t>
      </w:r>
      <w:r>
        <w:rPr>
          <w:color w:val="231F20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</w:rPr>
        <w:t>2015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2050,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proportion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world’s</w:t>
      </w:r>
      <w:r>
        <w:rPr>
          <w:color w:val="231F20"/>
          <w:spacing w:val="1"/>
        </w:rPr>
        <w:t> </w:t>
      </w:r>
      <w:r>
        <w:rPr>
          <w:color w:val="231F20"/>
        </w:rPr>
        <w:t>population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60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old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estimated to double from 12% to 22% (World Health</w:t>
      </w:r>
      <w:r>
        <w:rPr>
          <w:color w:val="231F20"/>
          <w:spacing w:val="-47"/>
        </w:rPr>
        <w:t> </w:t>
      </w:r>
      <w:r>
        <w:rPr>
          <w:color w:val="231F20"/>
        </w:rPr>
        <w:t>Organization,</w:t>
      </w:r>
      <w:r>
        <w:rPr>
          <w:color w:val="231F20"/>
          <w:spacing w:val="1"/>
        </w:rPr>
        <w:t> </w:t>
      </w:r>
      <w:r>
        <w:rPr>
          <w:color w:val="231F20"/>
        </w:rPr>
        <w:t>2018).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Malaysia,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aged</w:t>
      </w:r>
      <w:r>
        <w:rPr>
          <w:color w:val="231F20"/>
          <w:spacing w:val="1"/>
        </w:rPr>
        <w:t> </w:t>
      </w:r>
      <w:r>
        <w:rPr>
          <w:color w:val="231F20"/>
        </w:rPr>
        <w:t>60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above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progressively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1970s.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50"/>
        </w:rPr>
        <w:t> </w:t>
      </w:r>
      <w:r>
        <w:rPr>
          <w:color w:val="231F20"/>
        </w:rPr>
        <w:t>projected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-47"/>
        </w:rPr>
        <w:t> </w:t>
      </w:r>
      <w:r>
        <w:rPr>
          <w:color w:val="231F20"/>
        </w:rPr>
        <w:t>by 2030, there will be 5.8 million Malaysian, making</w:t>
      </w:r>
      <w:r>
        <w:rPr>
          <w:color w:val="231F20"/>
          <w:spacing w:val="-47"/>
        </w:rPr>
        <w:t> </w:t>
      </w:r>
      <w:r>
        <w:rPr>
          <w:color w:val="231F20"/>
        </w:rPr>
        <w:t>up about 15 percent of the total population (Wan</w:t>
      </w:r>
      <w:r>
        <w:rPr>
          <w:color w:val="231F20"/>
          <w:spacing w:val="1"/>
        </w:rPr>
        <w:t> </w:t>
      </w:r>
      <w:r>
        <w:rPr>
          <w:color w:val="231F20"/>
        </w:rPr>
        <w:t>Ibrahim </w:t>
      </w:r>
      <w:r>
        <w:rPr>
          <w:i/>
          <w:color w:val="231F20"/>
        </w:rPr>
        <w:t>et al</w:t>
      </w:r>
      <w:r>
        <w:rPr>
          <w:color w:val="231F20"/>
        </w:rPr>
        <w:t>., 2017). Population aging is 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issues,</w:t>
      </w:r>
      <w:r>
        <w:rPr>
          <w:color w:val="231F20"/>
          <w:spacing w:val="1"/>
        </w:rPr>
        <w:t> </w:t>
      </w:r>
      <w:r>
        <w:rPr>
          <w:color w:val="231F20"/>
        </w:rPr>
        <w:t>notably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chronic</w:t>
      </w:r>
      <w:r>
        <w:rPr>
          <w:color w:val="231F20"/>
          <w:spacing w:val="20"/>
        </w:rPr>
        <w:t> </w:t>
      </w:r>
      <w:r>
        <w:rPr>
          <w:color w:val="231F20"/>
        </w:rPr>
        <w:t>diseases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their</w:t>
      </w:r>
      <w:r>
        <w:rPr>
          <w:color w:val="231F20"/>
          <w:spacing w:val="20"/>
        </w:rPr>
        <w:t> </w:t>
      </w:r>
      <w:r>
        <w:rPr>
          <w:color w:val="231F20"/>
        </w:rPr>
        <w:t>com-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76.339996pt;margin-top:15.12624pt;width:214.2pt;height:.1pt;mso-position-horizontal-relative:page;mso-position-vertical-relative:paragraph;z-index:-15728128;mso-wrap-distance-left:0;mso-wrap-distance-right:0" id="docshape2" coordorigin="1527,303" coordsize="4284,0" path="m1527,303l5810,303e" filled="false" stroked="true" strokeweight=".51pt" strokecolor="#231f20">
            <v:path arrowok="t"/>
            <v:stroke dashstyle="solid"/>
            <w10:wrap type="topAndBottom"/>
          </v:shape>
        </w:pict>
      </w:r>
    </w:p>
    <w:p>
      <w:pPr>
        <w:spacing w:before="39"/>
        <w:ind w:left="386" w:right="0" w:firstLine="0"/>
        <w:jc w:val="both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whom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correspondence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should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addressed.</w:t>
      </w:r>
    </w:p>
    <w:p>
      <w:pPr>
        <w:pStyle w:val="BodyText"/>
        <w:spacing w:line="249" w:lineRule="auto" w:before="91"/>
        <w:ind w:left="386" w:right="114"/>
        <w:jc w:val="both"/>
      </w:pPr>
      <w:r>
        <w:rPr/>
        <w:br w:type="column"/>
      </w:r>
      <w:r>
        <w:rPr>
          <w:color w:val="231F20"/>
        </w:rPr>
        <w:t>plications. This results in a higher disability rate 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burden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risks</w:t>
      </w:r>
      <w:r>
        <w:rPr>
          <w:color w:val="231F20"/>
          <w:spacing w:val="1"/>
        </w:rPr>
        <w:t> </w:t>
      </w:r>
      <w:r>
        <w:rPr>
          <w:color w:val="231F20"/>
        </w:rPr>
        <w:t>across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lifespan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47"/>
        </w:rPr>
        <w:t> </w:t>
      </w:r>
      <w:r>
        <w:rPr>
          <w:color w:val="231F20"/>
        </w:rPr>
        <w:t>disease, injury, and chronic illness (United Nations,</w:t>
      </w:r>
      <w:r>
        <w:rPr>
          <w:color w:val="231F20"/>
          <w:spacing w:val="1"/>
        </w:rPr>
        <w:t> </w:t>
      </w:r>
      <w:r>
        <w:rPr>
          <w:color w:val="231F20"/>
        </w:rPr>
        <w:t>2019). Disability is defined as a dynamic interaction</w:t>
      </w:r>
      <w:r>
        <w:rPr>
          <w:color w:val="231F20"/>
          <w:spacing w:val="1"/>
        </w:rPr>
        <w:t> </w:t>
      </w:r>
      <w:r>
        <w:rPr>
          <w:color w:val="231F20"/>
        </w:rPr>
        <w:t>between persons with impairments, attitudinal and</w:t>
      </w:r>
      <w:r>
        <w:rPr>
          <w:color w:val="231F20"/>
          <w:spacing w:val="1"/>
        </w:rPr>
        <w:t> </w:t>
      </w:r>
      <w:r>
        <w:rPr>
          <w:color w:val="231F20"/>
        </w:rPr>
        <w:t>environmental</w:t>
      </w:r>
      <w:r>
        <w:rPr>
          <w:color w:val="231F20"/>
          <w:spacing w:val="1"/>
        </w:rPr>
        <w:t> </w:t>
      </w:r>
      <w:r>
        <w:rPr>
          <w:color w:val="231F20"/>
        </w:rPr>
        <w:t>barriers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hinder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full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effective</w:t>
      </w:r>
      <w:r>
        <w:rPr>
          <w:color w:val="231F20"/>
          <w:spacing w:val="1"/>
        </w:rPr>
        <w:t> </w:t>
      </w:r>
      <w:r>
        <w:rPr>
          <w:color w:val="231F20"/>
        </w:rPr>
        <w:t>participation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(World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Organization,</w:t>
      </w:r>
      <w:r>
        <w:rPr>
          <w:color w:val="231F20"/>
          <w:spacing w:val="-6"/>
        </w:rPr>
        <w:t> </w:t>
      </w:r>
      <w:r>
        <w:rPr>
          <w:color w:val="231F20"/>
        </w:rPr>
        <w:t>2011).</w:t>
      </w:r>
    </w:p>
    <w:p>
      <w:pPr>
        <w:pStyle w:val="BodyText"/>
        <w:spacing w:line="249" w:lineRule="auto" w:before="7"/>
        <w:ind w:left="386" w:right="108" w:firstLine="328"/>
        <w:jc w:val="both"/>
      </w:pPr>
      <w:r>
        <w:rPr>
          <w:color w:val="231F20"/>
        </w:rPr>
        <w:t>In healthcare, the conceptual measurement for</w:t>
      </w:r>
      <w:r>
        <w:rPr>
          <w:color w:val="231F20"/>
          <w:spacing w:val="1"/>
        </w:rPr>
        <w:t> </w:t>
      </w:r>
      <w:r>
        <w:rPr>
          <w:color w:val="231F20"/>
        </w:rPr>
        <w:t>functional status is divided into Activities of daily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(ADL)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Instrumental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-47"/>
        </w:rPr>
        <w:t> </w:t>
      </w:r>
      <w:r>
        <w:rPr>
          <w:color w:val="231F20"/>
        </w:rPr>
        <w:t>living (IADL). While ADL measures the basic daily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self-care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bathing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grooming; IADL measures more complex activities,</w:t>
      </w:r>
      <w:r>
        <w:rPr>
          <w:color w:val="231F20"/>
          <w:spacing w:val="1"/>
        </w:rPr>
        <w:t> </w:t>
      </w:r>
      <w:r>
        <w:rPr>
          <w:color w:val="231F20"/>
        </w:rPr>
        <w:t>which may not necessarily be performed daily, that</w:t>
      </w:r>
      <w:r>
        <w:rPr>
          <w:color w:val="231F20"/>
          <w:spacing w:val="1"/>
        </w:rPr>
        <w:t> </w:t>
      </w:r>
      <w:r>
        <w:rPr>
          <w:color w:val="231F20"/>
        </w:rPr>
        <w:t>allow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9"/>
        </w:rPr>
        <w:t>person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live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independently</w:t>
      </w:r>
      <w:r>
        <w:rPr>
          <w:color w:val="231F20"/>
          <w:spacing w:val="69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  <w:spacing w:val="11"/>
        </w:rPr>
        <w:t>their</w:t>
      </w:r>
    </w:p>
    <w:p>
      <w:pPr>
        <w:spacing w:after="0" w:line="249" w:lineRule="auto"/>
        <w:jc w:val="both"/>
        <w:sectPr>
          <w:type w:val="continuous"/>
          <w:pgSz w:w="11900" w:h="16840"/>
          <w:pgMar w:header="0" w:footer="0" w:top="820" w:bottom="280" w:left="1140" w:right="1120"/>
          <w:cols w:num="2" w:equalWidth="0">
            <w:col w:w="4720" w:space="130"/>
            <w:col w:w="4790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even" r:id="rId7"/>
          <w:headerReference w:type="default" r:id="rId8"/>
          <w:pgSz w:w="11900" w:h="16840"/>
          <w:pgMar w:header="890" w:footer="0" w:top="1100" w:bottom="280" w:left="1140" w:right="1120"/>
          <w:pgNumType w:start="38"/>
        </w:sectPr>
      </w:pPr>
    </w:p>
    <w:p>
      <w:pPr>
        <w:pStyle w:val="BodyText"/>
        <w:spacing w:line="249" w:lineRule="auto" w:before="92"/>
        <w:ind w:left="104" w:right="41"/>
        <w:jc w:val="both"/>
      </w:pPr>
      <w:r>
        <w:rPr>
          <w:color w:val="231F20"/>
        </w:rPr>
        <w:t>community (Institute for Public Health, 2018). The</w:t>
      </w:r>
      <w:r>
        <w:rPr>
          <w:color w:val="231F20"/>
          <w:spacing w:val="1"/>
        </w:rPr>
        <w:t> </w:t>
      </w:r>
      <w:r>
        <w:rPr>
          <w:color w:val="231F20"/>
        </w:rPr>
        <w:t>reported IADL disability rates varied between 34%</w:t>
      </w:r>
      <w:r>
        <w:rPr>
          <w:color w:val="231F20"/>
          <w:spacing w:val="1"/>
        </w:rPr>
        <w:t> </w:t>
      </w:r>
      <w:r>
        <w:rPr>
          <w:color w:val="231F20"/>
        </w:rPr>
        <w:t>and 82% (Loh </w:t>
      </w:r>
      <w:r>
        <w:rPr>
          <w:i/>
          <w:color w:val="231F20"/>
        </w:rPr>
        <w:t>et al</w:t>
      </w:r>
      <w:r>
        <w:rPr>
          <w:color w:val="231F20"/>
        </w:rPr>
        <w:t>., 2005; Veerapu </w:t>
      </w:r>
      <w:r>
        <w:rPr>
          <w:i/>
          <w:color w:val="231F20"/>
        </w:rPr>
        <w:t>et al</w:t>
      </w:r>
      <w:r>
        <w:rPr>
          <w:color w:val="231F20"/>
        </w:rPr>
        <w:t>., 2013;</w:t>
      </w:r>
      <w:r>
        <w:rPr>
          <w:color w:val="231F20"/>
          <w:spacing w:val="1"/>
        </w:rPr>
        <w:t> </w:t>
      </w:r>
      <w:r>
        <w:rPr>
          <w:color w:val="231F20"/>
        </w:rPr>
        <w:t>Subramaniyan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Arun,</w:t>
      </w:r>
      <w:r>
        <w:rPr>
          <w:color w:val="231F20"/>
          <w:spacing w:val="1"/>
        </w:rPr>
        <w:t> </w:t>
      </w:r>
      <w:r>
        <w:rPr>
          <w:color w:val="231F20"/>
        </w:rPr>
        <w:t>2016;</w:t>
      </w:r>
      <w:r>
        <w:rPr>
          <w:color w:val="231F20"/>
          <w:spacing w:val="1"/>
        </w:rPr>
        <w:t> </w:t>
      </w:r>
      <w:r>
        <w:rPr>
          <w:color w:val="231F20"/>
        </w:rPr>
        <w:t>Institute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1"/>
        </w:rPr>
        <w:t> </w:t>
      </w:r>
      <w:r>
        <w:rPr>
          <w:color w:val="231F20"/>
        </w:rPr>
        <w:t>Health,</w:t>
      </w:r>
      <w:r>
        <w:rPr>
          <w:color w:val="231F20"/>
          <w:spacing w:val="1"/>
        </w:rPr>
        <w:t> </w:t>
      </w:r>
      <w:r>
        <w:rPr>
          <w:color w:val="231F20"/>
        </w:rPr>
        <w:t>2018).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contexts of the study population and measurement</w:t>
      </w:r>
      <w:r>
        <w:rPr>
          <w:color w:val="231F20"/>
          <w:spacing w:val="1"/>
        </w:rPr>
        <w:t> </w:t>
      </w:r>
      <w:r>
        <w:rPr>
          <w:color w:val="231F20"/>
        </w:rPr>
        <w:t>tools. IADL disability has been associated with an</w:t>
      </w:r>
      <w:r>
        <w:rPr>
          <w:color w:val="231F20"/>
          <w:spacing w:val="1"/>
        </w:rPr>
        <w:t> </w:t>
      </w:r>
      <w:r>
        <w:rPr>
          <w:color w:val="231F20"/>
        </w:rPr>
        <w:t>increase in age (Arias-Merino </w:t>
      </w:r>
      <w:r>
        <w:rPr>
          <w:i/>
          <w:color w:val="231F20"/>
        </w:rPr>
        <w:t>et al</w:t>
      </w:r>
      <w:r>
        <w:rPr>
          <w:color w:val="231F20"/>
        </w:rPr>
        <w:t>., 2012; Connolly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 al</w:t>
      </w:r>
      <w:r>
        <w:rPr>
          <w:color w:val="231F20"/>
        </w:rPr>
        <w:t>., 2017), being unmarried or having no partner</w:t>
      </w:r>
      <w:r>
        <w:rPr>
          <w:color w:val="231F20"/>
          <w:spacing w:val="1"/>
        </w:rPr>
        <w:t> </w:t>
      </w:r>
      <w:r>
        <w:rPr>
          <w:color w:val="231F20"/>
        </w:rPr>
        <w:t>(Arias-Merino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2012;</w:t>
      </w:r>
      <w:r>
        <w:rPr>
          <w:color w:val="231F20"/>
          <w:spacing w:val="-12"/>
        </w:rPr>
        <w:t> </w:t>
      </w:r>
      <w:r>
        <w:rPr>
          <w:color w:val="231F20"/>
        </w:rPr>
        <w:t>Liang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2017),</w:t>
      </w:r>
      <w:r>
        <w:rPr>
          <w:color w:val="231F20"/>
          <w:spacing w:val="-12"/>
        </w:rPr>
        <w:t> </w:t>
      </w:r>
      <w:r>
        <w:rPr>
          <w:color w:val="231F20"/>
        </w:rPr>
        <w:t>elderly</w:t>
      </w:r>
      <w:r>
        <w:rPr>
          <w:color w:val="231F20"/>
          <w:spacing w:val="-48"/>
        </w:rPr>
        <w:t> </w:t>
      </w:r>
      <w:r>
        <w:rPr>
          <w:color w:val="231F20"/>
        </w:rPr>
        <w:t>living arrangement (Otero </w:t>
      </w:r>
      <w:r>
        <w:rPr>
          <w:i/>
          <w:color w:val="231F20"/>
        </w:rPr>
        <w:t>et al</w:t>
      </w:r>
      <w:r>
        <w:rPr>
          <w:color w:val="231F20"/>
        </w:rPr>
        <w:t>., 2003; Connolly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 2017), educational level (Graciani </w:t>
      </w:r>
      <w:r>
        <w:rPr>
          <w:i/>
          <w:color w:val="231F20"/>
        </w:rPr>
        <w:t>et al</w:t>
      </w:r>
      <w:r>
        <w:rPr>
          <w:color w:val="231F20"/>
        </w:rPr>
        <w:t>., 2004;</w:t>
      </w:r>
      <w:r>
        <w:rPr>
          <w:color w:val="231F20"/>
          <w:spacing w:val="1"/>
        </w:rPr>
        <w:t> </w:t>
      </w:r>
      <w:r>
        <w:rPr>
          <w:color w:val="231F20"/>
        </w:rPr>
        <w:t>Arias-Merino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6"/>
        </w:rPr>
        <w:t> </w:t>
      </w:r>
      <w:r>
        <w:rPr>
          <w:color w:val="231F20"/>
        </w:rPr>
        <w:t>2012;</w:t>
      </w:r>
      <w:r>
        <w:rPr>
          <w:color w:val="231F20"/>
          <w:spacing w:val="-6"/>
        </w:rPr>
        <w:t> </w:t>
      </w:r>
      <w:r>
        <w:rPr>
          <w:color w:val="231F20"/>
        </w:rPr>
        <w:t>Palacios-Cena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6"/>
        </w:rPr>
        <w:t> </w:t>
      </w:r>
      <w:r>
        <w:rPr>
          <w:color w:val="231F20"/>
        </w:rPr>
        <w:t>2012)</w:t>
      </w:r>
      <w:r>
        <w:rPr>
          <w:color w:val="231F20"/>
          <w:spacing w:val="-48"/>
        </w:rPr>
        <w:t> </w:t>
      </w:r>
      <w:r>
        <w:rPr>
          <w:color w:val="231F20"/>
        </w:rPr>
        <w:t>and individual monthly income (Woo </w:t>
      </w:r>
      <w:r>
        <w:rPr>
          <w:i/>
          <w:color w:val="231F20"/>
        </w:rPr>
        <w:t>et al</w:t>
      </w:r>
      <w:r>
        <w:rPr>
          <w:color w:val="231F20"/>
        </w:rPr>
        <w:t>., 2000;</w:t>
      </w:r>
      <w:r>
        <w:rPr>
          <w:color w:val="231F20"/>
          <w:spacing w:val="1"/>
        </w:rPr>
        <w:t> </w:t>
      </w:r>
      <w:r>
        <w:rPr>
          <w:color w:val="231F20"/>
        </w:rPr>
        <w:t>Otero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4"/>
        </w:rPr>
        <w:t> </w:t>
      </w:r>
      <w:r>
        <w:rPr>
          <w:color w:val="231F20"/>
        </w:rPr>
        <w:t>2003).</w:t>
      </w:r>
    </w:p>
    <w:p>
      <w:pPr>
        <w:pStyle w:val="BodyText"/>
        <w:spacing w:line="240" w:lineRule="exact" w:before="7"/>
        <w:ind w:left="104" w:right="38" w:firstLine="328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recent</w:t>
      </w:r>
      <w:r>
        <w:rPr>
          <w:color w:val="231F20"/>
          <w:spacing w:val="1"/>
        </w:rPr>
        <w:t> </w:t>
      </w:r>
      <w:r>
        <w:rPr>
          <w:color w:val="231F20"/>
        </w:rPr>
        <w:t>studies,</w:t>
      </w:r>
      <w:r>
        <w:rPr>
          <w:color w:val="231F20"/>
          <w:spacing w:val="1"/>
        </w:rPr>
        <w:t> </w:t>
      </w:r>
      <w:r>
        <w:rPr>
          <w:color w:val="231F20"/>
        </w:rPr>
        <w:t>health-related</w:t>
      </w:r>
      <w:r>
        <w:rPr>
          <w:color w:val="231F20"/>
          <w:spacing w:val="50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such as number of chronic diseases (Connolly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  <w:spacing w:val="5"/>
        </w:rPr>
        <w:t>2017</w:t>
      </w:r>
      <w:r>
        <w:rPr>
          <w:color w:val="231F20"/>
        </w:rPr>
        <w:t>; </w:t>
      </w:r>
      <w:r>
        <w:rPr>
          <w:color w:val="231F20"/>
          <w:spacing w:val="-15"/>
        </w:rPr>
        <w:t> </w:t>
      </w:r>
      <w:r>
        <w:rPr>
          <w:color w:val="231F20"/>
          <w:spacing w:val="-80"/>
        </w:rPr>
        <w:t>C</w:t>
      </w:r>
      <w:r>
        <w:rPr>
          <w:color w:val="231F20"/>
          <w:position w:val="4"/>
        </w:rPr>
        <w:t>´</w:t>
      </w:r>
      <w:r>
        <w:rPr>
          <w:color w:val="231F20"/>
          <w:spacing w:val="-26"/>
          <w:position w:val="4"/>
        </w:rPr>
        <w:t> </w:t>
      </w:r>
      <w:r>
        <w:rPr>
          <w:color w:val="231F20"/>
          <w:spacing w:val="5"/>
        </w:rPr>
        <w:t>wirlej-Soz</w:t>
      </w:r>
      <w:r>
        <w:rPr>
          <w:color w:val="231F20"/>
          <w:spacing w:val="6"/>
        </w:rPr>
        <w:t>a</w:t>
      </w:r>
      <w:r>
        <w:rPr>
          <w:color w:val="231F20"/>
          <w:spacing w:val="-80"/>
        </w:rPr>
        <w:t>n</w:t>
      </w:r>
      <w:r>
        <w:rPr>
          <w:color w:val="231F20"/>
        </w:rPr>
        <w:t>´</w:t>
      </w:r>
      <w:r>
        <w:rPr>
          <w:color w:val="231F20"/>
          <w:spacing w:val="-26"/>
        </w:rPr>
        <w:t> </w:t>
      </w:r>
      <w:r>
        <w:rPr>
          <w:color w:val="231F20"/>
          <w:spacing w:val="5"/>
        </w:rPr>
        <w:t>sk</w:t>
      </w:r>
      <w:r>
        <w:rPr>
          <w:color w:val="231F20"/>
        </w:rPr>
        <w:t>a </w:t>
      </w:r>
      <w:r>
        <w:rPr>
          <w:color w:val="231F20"/>
          <w:spacing w:val="-14"/>
        </w:rPr>
        <w:t> </w:t>
      </w:r>
      <w:r>
        <w:rPr>
          <w:i/>
          <w:color w:val="231F20"/>
          <w:spacing w:val="5"/>
        </w:rPr>
        <w:t>e</w:t>
      </w:r>
      <w:r>
        <w:rPr>
          <w:i/>
          <w:color w:val="231F20"/>
        </w:rPr>
        <w:t>t </w:t>
      </w:r>
      <w:r>
        <w:rPr>
          <w:i/>
          <w:color w:val="231F20"/>
          <w:spacing w:val="-15"/>
        </w:rPr>
        <w:t> </w:t>
      </w:r>
      <w:r>
        <w:rPr>
          <w:i/>
          <w:color w:val="231F20"/>
          <w:spacing w:val="5"/>
        </w:rPr>
        <w:t>al</w:t>
      </w:r>
      <w:r>
        <w:rPr>
          <w:color w:val="231F20"/>
          <w:spacing w:val="5"/>
        </w:rPr>
        <w:t>.</w:t>
      </w:r>
      <w:r>
        <w:rPr>
          <w:color w:val="231F20"/>
        </w:rPr>
        <w:t>, </w:t>
      </w:r>
      <w:r>
        <w:rPr>
          <w:color w:val="231F20"/>
          <w:spacing w:val="-15"/>
        </w:rPr>
        <w:t> </w:t>
      </w:r>
      <w:r>
        <w:rPr>
          <w:color w:val="231F20"/>
          <w:spacing w:val="5"/>
        </w:rPr>
        <w:t>2018)</w:t>
      </w:r>
      <w:r>
        <w:rPr>
          <w:color w:val="231F20"/>
        </w:rPr>
        <w:t>, </w:t>
      </w:r>
      <w:r>
        <w:rPr>
          <w:color w:val="231F20"/>
          <w:spacing w:val="-15"/>
        </w:rPr>
        <w:t> </w:t>
      </w:r>
      <w:r>
        <w:rPr>
          <w:color w:val="231F20"/>
          <w:spacing w:val="5"/>
        </w:rPr>
        <w:t>numbe</w:t>
      </w:r>
      <w:r>
        <w:rPr>
          <w:color w:val="231F20"/>
        </w:rPr>
        <w:t>r </w:t>
      </w:r>
      <w:r>
        <w:rPr>
          <w:color w:val="231F20"/>
          <w:spacing w:val="-15"/>
        </w:rPr>
        <w:t> </w:t>
      </w:r>
      <w:r>
        <w:rPr>
          <w:color w:val="231F20"/>
          <w:spacing w:val="5"/>
        </w:rPr>
        <w:t>of </w:t>
      </w:r>
      <w:r>
        <w:rPr>
          <w:color w:val="231F20"/>
        </w:rPr>
        <w:t>medications use (Jyrkkä </w:t>
      </w:r>
      <w:r>
        <w:rPr>
          <w:i/>
          <w:color w:val="231F20"/>
        </w:rPr>
        <w:t>et al</w:t>
      </w:r>
      <w:r>
        <w:rPr>
          <w:color w:val="231F20"/>
        </w:rPr>
        <w:t>., 2011; Peron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2011), poor cognitive function (Graciani </w:t>
      </w:r>
      <w:r>
        <w:rPr>
          <w:i/>
          <w:color w:val="231F20"/>
        </w:rPr>
        <w:t>et al</w:t>
      </w:r>
      <w:r>
        <w:rPr>
          <w:color w:val="231F20"/>
        </w:rPr>
        <w:t>., 2004;</w:t>
      </w:r>
      <w:r>
        <w:rPr>
          <w:color w:val="231F20"/>
          <w:spacing w:val="-47"/>
        </w:rPr>
        <w:t> </w:t>
      </w:r>
      <w:r>
        <w:rPr>
          <w:color w:val="231F20"/>
        </w:rPr>
        <w:t>Connolly </w:t>
      </w:r>
      <w:r>
        <w:rPr>
          <w:i/>
          <w:color w:val="231F20"/>
        </w:rPr>
        <w:t>et al</w:t>
      </w:r>
      <w:r>
        <w:rPr>
          <w:color w:val="231F20"/>
        </w:rPr>
        <w:t>., 2017) and depression (Storeng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2018;</w:t>
      </w:r>
      <w:r>
        <w:rPr>
          <w:color w:val="231F20"/>
          <w:spacing w:val="29"/>
        </w:rPr>
        <w:t> </w:t>
      </w:r>
      <w:r>
        <w:rPr>
          <w:color w:val="231F20"/>
        </w:rPr>
        <w:t>Kong</w:t>
      </w:r>
      <w:r>
        <w:rPr>
          <w:color w:val="231F20"/>
          <w:spacing w:val="30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2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30"/>
        </w:rPr>
        <w:t> </w:t>
      </w:r>
      <w:r>
        <w:rPr>
          <w:color w:val="231F20"/>
        </w:rPr>
        <w:t>2019)</w:t>
      </w:r>
      <w:r>
        <w:rPr>
          <w:color w:val="231F20"/>
          <w:spacing w:val="30"/>
        </w:rPr>
        <w:t> </w:t>
      </w:r>
      <w:r>
        <w:rPr>
          <w:color w:val="231F20"/>
        </w:rPr>
        <w:t>have</w:t>
      </w:r>
      <w:r>
        <w:rPr>
          <w:color w:val="231F20"/>
          <w:spacing w:val="30"/>
        </w:rPr>
        <w:t> </w:t>
      </w:r>
      <w:r>
        <w:rPr>
          <w:color w:val="231F20"/>
        </w:rPr>
        <w:t>also</w:t>
      </w:r>
      <w:r>
        <w:rPr>
          <w:color w:val="231F20"/>
          <w:spacing w:val="30"/>
        </w:rPr>
        <w:t> </w:t>
      </w:r>
      <w:r>
        <w:rPr>
          <w:color w:val="231F20"/>
        </w:rPr>
        <w:t>been</w:t>
      </w:r>
      <w:r>
        <w:rPr>
          <w:color w:val="231F20"/>
          <w:spacing w:val="30"/>
        </w:rPr>
        <w:t> </w:t>
      </w:r>
      <w:r>
        <w:rPr>
          <w:color w:val="231F20"/>
        </w:rPr>
        <w:t>identified</w:t>
      </w:r>
      <w:r>
        <w:rPr>
          <w:color w:val="231F20"/>
          <w:spacing w:val="-47"/>
        </w:rPr>
        <w:t> </w:t>
      </w:r>
      <w:r>
        <w:rPr>
          <w:color w:val="231F20"/>
        </w:rPr>
        <w:t>as factors associated with IADL disability. Self-rated</w:t>
      </w:r>
      <w:r>
        <w:rPr>
          <w:color w:val="231F20"/>
          <w:spacing w:val="-47"/>
        </w:rPr>
        <w:t> </w:t>
      </w:r>
      <w:r>
        <w:rPr>
          <w:color w:val="231F20"/>
        </w:rPr>
        <w:t>health status (Graciani </w:t>
      </w:r>
      <w:r>
        <w:rPr>
          <w:i/>
          <w:color w:val="231F20"/>
        </w:rPr>
        <w:t>et al</w:t>
      </w:r>
      <w:r>
        <w:rPr>
          <w:color w:val="231F20"/>
        </w:rPr>
        <w:t>., 2004; Palacios-Cena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 2012; Francisco </w:t>
      </w:r>
      <w:r>
        <w:rPr>
          <w:i/>
          <w:color w:val="231F20"/>
        </w:rPr>
        <w:t>et al</w:t>
      </w:r>
      <w:r>
        <w:rPr>
          <w:color w:val="231F20"/>
        </w:rPr>
        <w:t>., 2018) and social support</w:t>
      </w:r>
      <w:r>
        <w:rPr>
          <w:color w:val="231F20"/>
          <w:spacing w:val="1"/>
        </w:rPr>
        <w:t> </w:t>
      </w:r>
      <w:r>
        <w:rPr>
          <w:color w:val="231F20"/>
        </w:rPr>
        <w:t>(Ismail </w:t>
      </w:r>
      <w:r>
        <w:rPr>
          <w:i/>
          <w:color w:val="231F20"/>
        </w:rPr>
        <w:t>et al</w:t>
      </w:r>
      <w:r>
        <w:rPr>
          <w:color w:val="231F20"/>
        </w:rPr>
        <w:t>., 2016; Lino </w:t>
      </w:r>
      <w:r>
        <w:rPr>
          <w:i/>
          <w:color w:val="231F20"/>
        </w:rPr>
        <w:t>et al</w:t>
      </w:r>
      <w:r>
        <w:rPr>
          <w:color w:val="231F20"/>
        </w:rPr>
        <w:t>., 2019) are 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disability.</w:t>
      </w:r>
      <w:r>
        <w:rPr>
          <w:color w:val="231F20"/>
          <w:spacing w:val="1"/>
        </w:rPr>
        <w:t> </w:t>
      </w:r>
      <w:r>
        <w:rPr>
          <w:color w:val="231F20"/>
        </w:rPr>
        <w:t>Lifestyle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smoking, alcohol consumption, and being physically</w:t>
      </w:r>
      <w:r>
        <w:rPr>
          <w:color w:val="231F20"/>
          <w:spacing w:val="1"/>
        </w:rPr>
        <w:t> </w:t>
      </w:r>
      <w:r>
        <w:rPr>
          <w:color w:val="231F20"/>
        </w:rPr>
        <w:t>inactive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declined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-47"/>
        </w:rPr>
        <w:t> </w:t>
      </w:r>
      <w:r>
        <w:rPr>
          <w:color w:val="231F20"/>
        </w:rPr>
        <w:t>(Wang </w:t>
      </w:r>
      <w:r>
        <w:rPr>
          <w:i/>
          <w:color w:val="231F20"/>
        </w:rPr>
        <w:t>et al</w:t>
      </w:r>
      <w:r>
        <w:rPr>
          <w:color w:val="231F20"/>
        </w:rPr>
        <w:t>., 2002; Moore </w:t>
      </w:r>
      <w:r>
        <w:rPr>
          <w:i/>
          <w:color w:val="231F20"/>
        </w:rPr>
        <w:t>et al</w:t>
      </w:r>
      <w:r>
        <w:rPr>
          <w:color w:val="231F20"/>
        </w:rPr>
        <w:t>., 2003; Karlamangla</w:t>
      </w:r>
      <w:r>
        <w:rPr>
          <w:color w:val="231F20"/>
          <w:spacing w:val="1"/>
        </w:rPr>
        <w:t> </w:t>
      </w:r>
      <w:r>
        <w:rPr>
          <w:i/>
          <w:color w:val="231F20"/>
          <w:spacing w:val="1"/>
        </w:rPr>
        <w:t>e</w:t>
      </w:r>
      <w:r>
        <w:rPr>
          <w:i/>
          <w:color w:val="231F20"/>
        </w:rPr>
        <w:t>t</w:t>
      </w:r>
      <w:r>
        <w:rPr>
          <w:i/>
          <w:color w:val="231F20"/>
          <w:spacing w:val="12"/>
        </w:rPr>
        <w:t> </w:t>
      </w:r>
      <w:r>
        <w:rPr>
          <w:i/>
          <w:color w:val="231F20"/>
          <w:spacing w:val="1"/>
        </w:rPr>
        <w:t>al</w:t>
      </w:r>
      <w:r>
        <w:rPr>
          <w:color w:val="231F20"/>
          <w:spacing w:val="2"/>
        </w:rPr>
        <w:t>.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2009</w:t>
      </w:r>
      <w:r>
        <w:rPr>
          <w:color w:val="231F20"/>
        </w:rPr>
        <w:t>;</w:t>
      </w:r>
      <w:r>
        <w:rPr>
          <w:color w:val="231F20"/>
          <w:spacing w:val="14"/>
        </w:rPr>
        <w:t> </w:t>
      </w:r>
      <w:r>
        <w:rPr>
          <w:color w:val="231F20"/>
          <w:spacing w:val="-85"/>
        </w:rPr>
        <w:t>C</w:t>
      </w:r>
      <w:r>
        <w:rPr>
          <w:color w:val="231F20"/>
          <w:position w:val="4"/>
        </w:rPr>
        <w:t>´</w:t>
      </w:r>
      <w:r>
        <w:rPr>
          <w:color w:val="231F20"/>
          <w:spacing w:val="-26"/>
          <w:position w:val="4"/>
        </w:rPr>
        <w:t> </w:t>
      </w:r>
      <w:r>
        <w:rPr>
          <w:color w:val="231F20"/>
          <w:spacing w:val="1"/>
        </w:rPr>
        <w:t>wirlej-Soz</w:t>
      </w:r>
      <w:r>
        <w:rPr>
          <w:color w:val="231F20"/>
          <w:spacing w:val="2"/>
        </w:rPr>
        <w:t>a</w:t>
      </w:r>
      <w:r>
        <w:rPr>
          <w:color w:val="231F20"/>
          <w:spacing w:val="-84"/>
        </w:rPr>
        <w:t>n</w:t>
      </w:r>
      <w:r>
        <w:rPr>
          <w:color w:val="231F20"/>
        </w:rPr>
        <w:t>´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sk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i/>
          <w:color w:val="231F20"/>
          <w:spacing w:val="1"/>
        </w:rPr>
        <w:t>e</w:t>
      </w:r>
      <w:r>
        <w:rPr>
          <w:i/>
          <w:color w:val="231F20"/>
        </w:rPr>
        <w:t>t</w:t>
      </w:r>
      <w:r>
        <w:rPr>
          <w:i/>
          <w:color w:val="231F20"/>
          <w:spacing w:val="12"/>
        </w:rPr>
        <w:t> </w:t>
      </w:r>
      <w:r>
        <w:rPr>
          <w:i/>
          <w:color w:val="231F20"/>
          <w:spacing w:val="1"/>
        </w:rPr>
        <w:t>a</w:t>
      </w:r>
      <w:r>
        <w:rPr>
          <w:i/>
          <w:color w:val="231F20"/>
          <w:spacing w:val="2"/>
        </w:rPr>
        <w:t>l</w:t>
      </w:r>
      <w:r>
        <w:rPr>
          <w:color w:val="231F20"/>
          <w:spacing w:val="1"/>
        </w:rPr>
        <w:t>.</w:t>
      </w:r>
      <w:r>
        <w:rPr>
          <w:color w:val="231F20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2018</w:t>
      </w:r>
      <w:r>
        <w:rPr>
          <w:color w:val="231F20"/>
        </w:rPr>
        <w:t>;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Storeng </w:t>
      </w:r>
      <w:r>
        <w:rPr>
          <w:i/>
          <w:color w:val="231F20"/>
        </w:rPr>
        <w:t>et al</w:t>
      </w:r>
      <w:r>
        <w:rPr>
          <w:color w:val="231F20"/>
        </w:rPr>
        <w:t>., 2018). Studies on IADL in Malaysia is limited</w:t>
      </w:r>
      <w:r>
        <w:rPr>
          <w:color w:val="231F20"/>
          <w:spacing w:val="1"/>
        </w:rPr>
        <w:t> </w:t>
      </w:r>
      <w:r>
        <w:rPr>
          <w:color w:val="231F20"/>
        </w:rPr>
        <w:t>in addition to small scale population-based study. To</w:t>
      </w:r>
      <w:r>
        <w:rPr>
          <w:color w:val="231F20"/>
          <w:spacing w:val="1"/>
        </w:rPr>
        <w:t> </w:t>
      </w:r>
      <w:r>
        <w:rPr>
          <w:color w:val="231F20"/>
        </w:rPr>
        <w:t>inform</w:t>
      </w:r>
      <w:r>
        <w:rPr>
          <w:color w:val="231F20"/>
          <w:spacing w:val="1"/>
        </w:rPr>
        <w:t> </w:t>
      </w:r>
      <w:r>
        <w:rPr>
          <w:color w:val="231F20"/>
        </w:rPr>
        <w:t>policy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Malaysia,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large</w:t>
      </w:r>
      <w:r>
        <w:rPr>
          <w:color w:val="231F20"/>
          <w:spacing w:val="-47"/>
        </w:rPr>
        <w:t> </w:t>
      </w:r>
      <w:r>
        <w:rPr>
          <w:color w:val="231F20"/>
        </w:rPr>
        <w:t>population-based study is needed to produce up-to-</w:t>
      </w:r>
      <w:r>
        <w:rPr>
          <w:color w:val="231F20"/>
          <w:spacing w:val="1"/>
        </w:rPr>
        <w:t> </w:t>
      </w:r>
      <w:r>
        <w:rPr>
          <w:color w:val="231F20"/>
        </w:rPr>
        <w:t>date evidence. In this study, we aimed to determine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-9"/>
        </w:rPr>
        <w:t> </w:t>
      </w:r>
      <w:r>
        <w:rPr>
          <w:color w:val="231F20"/>
        </w:rPr>
        <w:t>influencing</w:t>
      </w:r>
      <w:r>
        <w:rPr>
          <w:color w:val="231F20"/>
          <w:spacing w:val="-8"/>
        </w:rPr>
        <w:t> </w:t>
      </w:r>
      <w:r>
        <w:rPr>
          <w:color w:val="231F20"/>
        </w:rPr>
        <w:t>IADL</w:t>
      </w:r>
      <w:r>
        <w:rPr>
          <w:color w:val="231F20"/>
          <w:spacing w:val="-8"/>
        </w:rPr>
        <w:t> </w:t>
      </w:r>
      <w:r>
        <w:rPr>
          <w:color w:val="231F20"/>
        </w:rPr>
        <w:t>disability</w:t>
      </w:r>
      <w:r>
        <w:rPr>
          <w:color w:val="231F20"/>
          <w:spacing w:val="-9"/>
        </w:rPr>
        <w:t> </w:t>
      </w:r>
      <w:r>
        <w:rPr>
          <w:color w:val="231F20"/>
        </w:rPr>
        <w:t>among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elderly</w:t>
      </w:r>
      <w:r>
        <w:rPr>
          <w:color w:val="231F20"/>
          <w:spacing w:val="-48"/>
        </w:rPr>
        <w:t> </w:t>
      </w:r>
      <w:r>
        <w:rPr>
          <w:color w:val="231F20"/>
        </w:rPr>
        <w:t>attending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clinics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Kelantan.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hope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-47"/>
        </w:rPr>
        <w:t> </w:t>
      </w:r>
      <w:r>
        <w:rPr>
          <w:color w:val="231F20"/>
          <w:spacing w:val="9"/>
        </w:rPr>
        <w:t>recognizing</w:t>
      </w:r>
      <w:r>
        <w:rPr>
          <w:color w:val="231F20"/>
          <w:spacing w:val="10"/>
        </w:rPr>
        <w:t> </w:t>
      </w:r>
      <w:r>
        <w:rPr>
          <w:color w:val="231F20"/>
        </w:rPr>
        <w:t>specific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influencing</w:t>
      </w:r>
      <w:r>
        <w:rPr>
          <w:color w:val="231F20"/>
          <w:spacing w:val="11"/>
        </w:rPr>
        <w:t> </w:t>
      </w:r>
      <w:r>
        <w:rPr>
          <w:color w:val="231F20"/>
          <w:spacing w:val="10"/>
        </w:rPr>
        <w:t>IADL</w:t>
      </w:r>
      <w:r>
        <w:rPr>
          <w:color w:val="231F20"/>
          <w:spacing w:val="11"/>
        </w:rPr>
        <w:t> </w:t>
      </w:r>
      <w:r>
        <w:rPr>
          <w:color w:val="231F20"/>
        </w:rPr>
        <w:t>disability would intensify elderly care by targeting</w:t>
      </w:r>
      <w:r>
        <w:rPr>
          <w:color w:val="231F20"/>
          <w:spacing w:val="1"/>
        </w:rPr>
        <w:t> </w:t>
      </w:r>
      <w:r>
        <w:rPr>
          <w:color w:val="231F20"/>
        </w:rPr>
        <w:t>individuals at risk of, or suffering, functional decline.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Heading1"/>
        <w:ind w:left="104"/>
        <w:jc w:val="both"/>
      </w:pPr>
      <w:r>
        <w:rPr>
          <w:color w:val="231F20"/>
          <w:spacing w:val="-10"/>
        </w:rPr>
        <w:t>MATERIALS</w:t>
      </w:r>
      <w:r>
        <w:rPr>
          <w:color w:val="231F20"/>
          <w:spacing w:val="-21"/>
        </w:rPr>
        <w:t> </w:t>
      </w:r>
      <w:r>
        <w:rPr>
          <w:color w:val="231F20"/>
          <w:spacing w:val="-1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METHODS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ind w:left="104"/>
      </w:pPr>
      <w:r>
        <w:rPr>
          <w:color w:val="231F20"/>
        </w:rPr>
        <w:t>Study</w:t>
      </w:r>
      <w:r>
        <w:rPr>
          <w:color w:val="231F20"/>
          <w:spacing w:val="-12"/>
        </w:rPr>
        <w:t> </w:t>
      </w:r>
      <w:r>
        <w:rPr>
          <w:color w:val="231F20"/>
        </w:rPr>
        <w:t>design</w:t>
      </w:r>
    </w:p>
    <w:p>
      <w:pPr>
        <w:pStyle w:val="BodyText"/>
        <w:spacing w:line="249" w:lineRule="auto" w:before="10"/>
        <w:ind w:left="104" w:right="38" w:firstLine="328"/>
        <w:jc w:val="both"/>
      </w:pP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cross-sectional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50"/>
        </w:rPr>
        <w:t> </w:t>
      </w:r>
      <w:r>
        <w:rPr>
          <w:color w:val="231F20"/>
        </w:rPr>
        <w:t>conducted</w:t>
      </w:r>
      <w:r>
        <w:rPr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Kelantan</w:t>
      </w:r>
      <w:r>
        <w:rPr>
          <w:color w:val="231F20"/>
          <w:spacing w:val="10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situated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northeast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Peninsular</w:t>
      </w:r>
      <w:r>
        <w:rPr>
          <w:color w:val="231F20"/>
          <w:spacing w:val="1"/>
        </w:rPr>
        <w:t> </w:t>
      </w:r>
      <w:r>
        <w:rPr>
          <w:color w:val="231F20"/>
        </w:rPr>
        <w:t>Malaysia.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facilities</w:t>
      </w:r>
      <w:r>
        <w:rPr>
          <w:color w:val="231F20"/>
          <w:spacing w:val="-47"/>
        </w:rPr>
        <w:t> </w:t>
      </w:r>
      <w:r>
        <w:rPr>
          <w:color w:val="231F20"/>
        </w:rPr>
        <w:t>were built to serve the people in this state, including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hospitals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92</w:t>
      </w:r>
      <w:r>
        <w:rPr>
          <w:color w:val="231F20"/>
          <w:spacing w:val="1"/>
        </w:rPr>
        <w:t> </w:t>
      </w:r>
      <w:r>
        <w:rPr>
          <w:color w:val="231F20"/>
        </w:rPr>
        <w:t>primary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clinics.</w:t>
      </w:r>
      <w:r>
        <w:rPr>
          <w:color w:val="231F20"/>
          <w:spacing w:val="1"/>
        </w:rPr>
        <w:t> </w:t>
      </w:r>
      <w:r>
        <w:rPr>
          <w:color w:val="231F20"/>
        </w:rPr>
        <w:t>Four</w:t>
      </w:r>
      <w:r>
        <w:rPr>
          <w:color w:val="231F20"/>
          <w:spacing w:val="1"/>
        </w:rPr>
        <w:t> </w:t>
      </w:r>
      <w:r>
        <w:rPr>
          <w:color w:val="231F20"/>
        </w:rPr>
        <w:t>districts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high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patient</w:t>
      </w:r>
      <w:r>
        <w:rPr>
          <w:color w:val="231F20"/>
          <w:spacing w:val="1"/>
        </w:rPr>
        <w:t> </w:t>
      </w:r>
      <w:r>
        <w:rPr>
          <w:color w:val="231F20"/>
        </w:rPr>
        <w:t>volume</w:t>
      </w:r>
      <w:r>
        <w:rPr>
          <w:color w:val="231F20"/>
          <w:spacing w:val="50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chosen to be involved in this study which are Kota</w:t>
      </w:r>
      <w:r>
        <w:rPr>
          <w:color w:val="231F20"/>
          <w:spacing w:val="1"/>
        </w:rPr>
        <w:t> </w:t>
      </w:r>
      <w:r>
        <w:rPr>
          <w:color w:val="231F20"/>
        </w:rPr>
        <w:t>Bharu,</w:t>
      </w:r>
      <w:r>
        <w:rPr>
          <w:color w:val="231F20"/>
          <w:spacing w:val="4"/>
        </w:rPr>
        <w:t> </w:t>
      </w:r>
      <w:r>
        <w:rPr>
          <w:color w:val="231F20"/>
        </w:rPr>
        <w:t>Tumpat,</w:t>
      </w:r>
      <w:r>
        <w:rPr>
          <w:color w:val="231F20"/>
          <w:spacing w:val="5"/>
        </w:rPr>
        <w:t> </w:t>
      </w:r>
      <w:r>
        <w:rPr>
          <w:color w:val="231F20"/>
        </w:rPr>
        <w:t>Pasir</w:t>
      </w:r>
      <w:r>
        <w:rPr>
          <w:color w:val="231F20"/>
          <w:spacing w:val="5"/>
        </w:rPr>
        <w:t> </w:t>
      </w:r>
      <w:r>
        <w:rPr>
          <w:color w:val="231F20"/>
        </w:rPr>
        <w:t>Mas,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Bachok</w:t>
      </w:r>
      <w:r>
        <w:rPr>
          <w:color w:val="231F20"/>
          <w:spacing w:val="5"/>
        </w:rPr>
        <w:t> </w:t>
      </w:r>
      <w:r>
        <w:rPr>
          <w:color w:val="231F20"/>
        </w:rPr>
        <w:t>districts.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04"/>
        <w:jc w:val="left"/>
      </w:pPr>
      <w:r>
        <w:rPr>
          <w:color w:val="231F20"/>
        </w:rPr>
        <w:t>Sample</w:t>
      </w:r>
    </w:p>
    <w:p>
      <w:pPr>
        <w:pStyle w:val="BodyText"/>
        <w:spacing w:line="249" w:lineRule="auto" w:before="10"/>
        <w:ind w:left="104" w:right="40" w:firstLine="328"/>
      </w:pP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inclusion</w:t>
      </w:r>
      <w:r>
        <w:rPr>
          <w:color w:val="231F20"/>
          <w:spacing w:val="20"/>
        </w:rPr>
        <w:t> </w:t>
      </w:r>
      <w:r>
        <w:rPr>
          <w:color w:val="231F20"/>
        </w:rPr>
        <w:t>criteria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participants</w:t>
      </w:r>
      <w:r>
        <w:rPr>
          <w:color w:val="231F20"/>
          <w:spacing w:val="20"/>
        </w:rPr>
        <w:t> </w:t>
      </w:r>
      <w:r>
        <w:rPr>
          <w:color w:val="231F20"/>
        </w:rPr>
        <w:t>are</w:t>
      </w:r>
      <w:r>
        <w:rPr>
          <w:color w:val="231F20"/>
          <w:spacing w:val="-47"/>
        </w:rPr>
        <w:t> </w:t>
      </w:r>
      <w:r>
        <w:rPr>
          <w:color w:val="231F20"/>
        </w:rPr>
        <w:t>community-dwelling</w:t>
      </w:r>
      <w:r>
        <w:rPr>
          <w:color w:val="231F20"/>
          <w:spacing w:val="8"/>
        </w:rPr>
        <w:t> </w:t>
      </w:r>
      <w:r>
        <w:rPr>
          <w:color w:val="231F20"/>
        </w:rPr>
        <w:t>elderly</w:t>
      </w:r>
      <w:r>
        <w:rPr>
          <w:color w:val="231F20"/>
          <w:spacing w:val="8"/>
        </w:rPr>
        <w:t> </w:t>
      </w:r>
      <w:r>
        <w:rPr>
          <w:color w:val="231F20"/>
        </w:rPr>
        <w:t>aged</w:t>
      </w:r>
      <w:r>
        <w:rPr>
          <w:color w:val="231F20"/>
          <w:spacing w:val="9"/>
        </w:rPr>
        <w:t> </w:t>
      </w:r>
      <w:r>
        <w:rPr>
          <w:color w:val="231F20"/>
        </w:rPr>
        <w:t>&gt;60</w:t>
      </w:r>
      <w:r>
        <w:rPr>
          <w:color w:val="231F20"/>
          <w:spacing w:val="8"/>
        </w:rPr>
        <w:t> </w:t>
      </w:r>
      <w:r>
        <w:rPr>
          <w:color w:val="231F20"/>
        </w:rPr>
        <w:t>years</w:t>
      </w:r>
      <w:r>
        <w:rPr>
          <w:color w:val="231F20"/>
          <w:spacing w:val="8"/>
        </w:rPr>
        <w:t> </w:t>
      </w:r>
      <w:r>
        <w:rPr>
          <w:color w:val="231F20"/>
        </w:rPr>
        <w:t>old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</w:p>
    <w:p>
      <w:pPr>
        <w:pStyle w:val="BodyText"/>
        <w:spacing w:line="249" w:lineRule="auto" w:before="92"/>
        <w:ind w:left="104" w:right="395"/>
        <w:jc w:val="both"/>
      </w:pPr>
      <w:r>
        <w:rPr/>
        <w:br w:type="column"/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communicate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Malay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English.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exclusion criteria are those with an acute medical</w:t>
      </w:r>
      <w:r>
        <w:rPr>
          <w:color w:val="231F20"/>
          <w:spacing w:val="1"/>
        </w:rPr>
        <w:t> </w:t>
      </w:r>
      <w:r>
        <w:rPr>
          <w:color w:val="231F20"/>
        </w:rPr>
        <w:t>condition (i.e. trauma, post-fall, recent heart attack,</w:t>
      </w:r>
      <w:r>
        <w:rPr>
          <w:color w:val="231F20"/>
          <w:spacing w:val="1"/>
        </w:rPr>
        <w:t> </w:t>
      </w:r>
      <w:r>
        <w:rPr>
          <w:color w:val="231F20"/>
        </w:rPr>
        <w:t>etc.), elderly living in long-term care, and those who</w:t>
      </w:r>
      <w:r>
        <w:rPr>
          <w:color w:val="231F20"/>
          <w:spacing w:val="1"/>
        </w:rPr>
        <w:t> </w:t>
      </w:r>
      <w:r>
        <w:rPr>
          <w:color w:val="231F20"/>
        </w:rPr>
        <w:t>could not respond to the interview, including elderly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severe</w:t>
      </w:r>
      <w:r>
        <w:rPr>
          <w:color w:val="231F20"/>
          <w:spacing w:val="-7"/>
        </w:rPr>
        <w:t> </w:t>
      </w:r>
      <w:r>
        <w:rPr>
          <w:color w:val="231F20"/>
        </w:rPr>
        <w:t>cognitive</w:t>
      </w:r>
      <w:r>
        <w:rPr>
          <w:color w:val="231F20"/>
          <w:spacing w:val="-6"/>
        </w:rPr>
        <w:t> </w:t>
      </w:r>
      <w:r>
        <w:rPr>
          <w:color w:val="231F20"/>
        </w:rPr>
        <w:t>impairment</w:t>
      </w:r>
      <w:r>
        <w:rPr>
          <w:color w:val="231F20"/>
          <w:spacing w:val="-7"/>
        </w:rPr>
        <w:t> </w:t>
      </w:r>
      <w:r>
        <w:rPr>
          <w:color w:val="231F20"/>
        </w:rPr>
        <w:t>(ECAQ&lt;4)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overt</w:t>
      </w:r>
      <w:r>
        <w:rPr>
          <w:color w:val="231F20"/>
          <w:spacing w:val="-48"/>
        </w:rPr>
        <w:t> </w:t>
      </w:r>
      <w:r>
        <w:rPr>
          <w:color w:val="231F20"/>
        </w:rPr>
        <w:t>dementia.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apriori</w:t>
      </w:r>
      <w:r>
        <w:rPr>
          <w:color w:val="231F20"/>
          <w:spacing w:val="1"/>
        </w:rPr>
        <w:t> </w:t>
      </w:r>
      <w:r>
        <w:rPr>
          <w:color w:val="231F20"/>
        </w:rPr>
        <w:t>sample</w:t>
      </w:r>
      <w:r>
        <w:rPr>
          <w:color w:val="231F20"/>
          <w:spacing w:val="1"/>
        </w:rPr>
        <w:t> </w:t>
      </w:r>
      <w:r>
        <w:rPr>
          <w:color w:val="231F20"/>
        </w:rPr>
        <w:t>size</w:t>
      </w:r>
      <w:r>
        <w:rPr>
          <w:color w:val="231F20"/>
          <w:spacing w:val="1"/>
        </w:rPr>
        <w:t> </w:t>
      </w:r>
      <w:r>
        <w:rPr>
          <w:color w:val="231F20"/>
        </w:rPr>
        <w:t>calculation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conducted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sample</w:t>
      </w:r>
      <w:r>
        <w:rPr>
          <w:color w:val="231F20"/>
          <w:spacing w:val="1"/>
        </w:rPr>
        <w:t> </w:t>
      </w:r>
      <w:r>
        <w:rPr>
          <w:color w:val="231F20"/>
        </w:rPr>
        <w:t>size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248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47"/>
        </w:rPr>
        <w:t> </w:t>
      </w:r>
      <w:r>
        <w:rPr>
          <w:color w:val="231F20"/>
        </w:rPr>
        <w:t>estimated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be</w:t>
      </w:r>
      <w:r>
        <w:rPr>
          <w:color w:val="231F20"/>
          <w:spacing w:val="14"/>
        </w:rPr>
        <w:t> </w:t>
      </w:r>
      <w:r>
        <w:rPr>
          <w:color w:val="231F20"/>
        </w:rPr>
        <w:t>sufficient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address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objective.</w:t>
      </w:r>
    </w:p>
    <w:p>
      <w:pPr>
        <w:pStyle w:val="BodyText"/>
        <w:spacing w:line="249" w:lineRule="auto" w:before="7"/>
        <w:ind w:left="104" w:right="393" w:firstLine="328"/>
        <w:jc w:val="both"/>
      </w:pPr>
      <w:r>
        <w:rPr>
          <w:color w:val="231F20"/>
        </w:rPr>
        <w:t>A multistage sampling method was used in this</w:t>
      </w:r>
      <w:r>
        <w:rPr>
          <w:color w:val="231F20"/>
          <w:spacing w:val="1"/>
        </w:rPr>
        <w:t> </w:t>
      </w:r>
      <w:r>
        <w:rPr>
          <w:color w:val="231F20"/>
        </w:rPr>
        <w:t>study.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samples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derived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12</w:t>
      </w:r>
      <w:r>
        <w:rPr>
          <w:color w:val="231F20"/>
          <w:spacing w:val="1"/>
        </w:rPr>
        <w:t> </w:t>
      </w:r>
      <w:r>
        <w:rPr>
          <w:color w:val="231F20"/>
        </w:rPr>
        <w:t>selected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clinics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four</w:t>
      </w:r>
      <w:r>
        <w:rPr>
          <w:color w:val="231F20"/>
          <w:spacing w:val="1"/>
        </w:rPr>
        <w:t> </w:t>
      </w:r>
      <w:r>
        <w:rPr>
          <w:color w:val="231F20"/>
        </w:rPr>
        <w:t>districts</w:t>
      </w:r>
      <w:r>
        <w:rPr>
          <w:color w:val="231F20"/>
          <w:spacing w:val="1"/>
        </w:rPr>
        <w:t> </w:t>
      </w:r>
      <w:r>
        <w:rPr>
          <w:color w:val="231F20"/>
        </w:rPr>
        <w:t>mentioned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above.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proportionate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sampling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then</w:t>
      </w:r>
      <w:r>
        <w:rPr>
          <w:color w:val="231F20"/>
          <w:spacing w:val="12"/>
        </w:rPr>
        <w:t> </w:t>
      </w:r>
      <w:r>
        <w:rPr>
          <w:color w:val="231F20"/>
        </w:rPr>
        <w:t>applied to obtain the sample of elderly from each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clinic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followed</w:t>
      </w:r>
      <w:r>
        <w:rPr>
          <w:color w:val="231F20"/>
          <w:spacing w:val="10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systematic</w:t>
      </w:r>
      <w:r>
        <w:rPr>
          <w:color w:val="231F20"/>
          <w:spacing w:val="1"/>
        </w:rPr>
        <w:t> </w:t>
      </w:r>
      <w:r>
        <w:rPr>
          <w:color w:val="231F20"/>
        </w:rPr>
        <w:t>sampling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elderly attending the clinics on the day itself. An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interviewer-guided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questionnaire</w:t>
      </w:r>
      <w:r>
        <w:rPr>
          <w:color w:val="231F20"/>
          <w:spacing w:val="10"/>
        </w:rPr>
        <w:t> </w:t>
      </w:r>
      <w:r>
        <w:rPr>
          <w:color w:val="231F20"/>
        </w:rPr>
        <w:t>consisting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sociodemographic</w:t>
      </w:r>
      <w:r>
        <w:rPr>
          <w:color w:val="231F20"/>
          <w:spacing w:val="1"/>
        </w:rPr>
        <w:t> </w:t>
      </w:r>
      <w:r>
        <w:rPr>
          <w:color w:val="231F20"/>
        </w:rPr>
        <w:t>characteristics,</w:t>
      </w:r>
      <w:r>
        <w:rPr>
          <w:color w:val="231F20"/>
          <w:spacing w:val="1"/>
        </w:rPr>
        <w:t> </w:t>
      </w:r>
      <w:r>
        <w:rPr>
          <w:color w:val="231F20"/>
        </w:rPr>
        <w:t>health-related</w:t>
      </w:r>
      <w:r>
        <w:rPr>
          <w:color w:val="231F20"/>
          <w:spacing w:val="1"/>
        </w:rPr>
        <w:t> </w:t>
      </w:r>
      <w:r>
        <w:rPr>
          <w:color w:val="231F20"/>
        </w:rPr>
        <w:t>conditions, Lawton IADL scale, Elderly Cognitive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Assessment</w:t>
      </w:r>
      <w:r>
        <w:rPr>
          <w:color w:val="231F20"/>
          <w:spacing w:val="10"/>
        </w:rPr>
        <w:t> Questionnaire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(ECAQ),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Geriatric</w:t>
      </w:r>
      <w:r>
        <w:rPr>
          <w:color w:val="231F20"/>
          <w:spacing w:val="-47"/>
        </w:rPr>
        <w:t> </w:t>
      </w:r>
      <w:r>
        <w:rPr>
          <w:color w:val="231F20"/>
        </w:rPr>
        <w:t>Depression Scale (GDS), and Duke Social Support</w:t>
      </w:r>
      <w:r>
        <w:rPr>
          <w:color w:val="231F20"/>
          <w:spacing w:val="1"/>
        </w:rPr>
        <w:t> </w:t>
      </w:r>
      <w:r>
        <w:rPr>
          <w:color w:val="231F20"/>
        </w:rPr>
        <w:t>Index (DSSI) was carried out. Disabled IADL status</w:t>
      </w:r>
      <w:r>
        <w:rPr>
          <w:color w:val="231F20"/>
          <w:spacing w:val="1"/>
        </w:rPr>
        <w:t> </w:t>
      </w:r>
      <w:r>
        <w:rPr>
          <w:color w:val="231F20"/>
        </w:rPr>
        <w:t>was defined as having difficulty performing at least</w:t>
      </w:r>
      <w:r>
        <w:rPr>
          <w:color w:val="231F20"/>
          <w:spacing w:val="1"/>
        </w:rPr>
        <w:t> </w:t>
      </w:r>
      <w:r>
        <w:rPr>
          <w:color w:val="231F20"/>
        </w:rPr>
        <w:t>one out of eight activities on the Lawton IADL scale.</w:t>
      </w:r>
      <w:r>
        <w:rPr>
          <w:color w:val="231F20"/>
          <w:spacing w:val="-47"/>
        </w:rPr>
        <w:t> </w:t>
      </w:r>
      <w:r>
        <w:rPr>
          <w:color w:val="231F20"/>
        </w:rPr>
        <w:t>For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outcome,</w:t>
      </w:r>
      <w:r>
        <w:rPr>
          <w:color w:val="231F20"/>
          <w:spacing w:val="18"/>
        </w:rPr>
        <w:t> </w:t>
      </w:r>
      <w:r>
        <w:rPr>
          <w:color w:val="231F20"/>
        </w:rPr>
        <w:t>disabled</w:t>
      </w:r>
      <w:r>
        <w:rPr>
          <w:color w:val="231F20"/>
          <w:spacing w:val="19"/>
        </w:rPr>
        <w:t> </w:t>
      </w:r>
      <w:r>
        <w:rPr>
          <w:color w:val="231F20"/>
        </w:rPr>
        <w:t>IADL</w:t>
      </w:r>
      <w:r>
        <w:rPr>
          <w:color w:val="231F20"/>
          <w:spacing w:val="18"/>
        </w:rPr>
        <w:t> </w:t>
      </w:r>
      <w:r>
        <w:rPr>
          <w:color w:val="231F20"/>
        </w:rPr>
        <w:t>status</w:t>
      </w:r>
      <w:r>
        <w:rPr>
          <w:color w:val="231F20"/>
          <w:spacing w:val="19"/>
        </w:rPr>
        <w:t> </w:t>
      </w:r>
      <w:r>
        <w:rPr>
          <w:color w:val="231F20"/>
        </w:rPr>
        <w:t>was</w:t>
      </w:r>
      <w:r>
        <w:rPr>
          <w:color w:val="231F20"/>
          <w:spacing w:val="19"/>
        </w:rPr>
        <w:t> </w:t>
      </w:r>
      <w:r>
        <w:rPr>
          <w:color w:val="231F20"/>
        </w:rPr>
        <w:t>defined</w:t>
      </w:r>
      <w:r>
        <w:rPr>
          <w:color w:val="231F20"/>
          <w:spacing w:val="-48"/>
        </w:rPr>
        <w:t> </w:t>
      </w:r>
      <w:r>
        <w:rPr>
          <w:color w:val="231F20"/>
        </w:rPr>
        <w:t>as those with Lawton scores </w:t>
      </w:r>
      <w:r>
        <w:rPr>
          <w:color w:val="231F20"/>
          <w:u w:val="single" w:color="231F20"/>
        </w:rPr>
        <w:t>&lt;</w:t>
      </w:r>
      <w:r>
        <w:rPr>
          <w:color w:val="231F20"/>
        </w:rPr>
        <w:t>7 while non-disabled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33"/>
        </w:rPr>
        <w:t> </w:t>
      </w:r>
      <w:r>
        <w:rPr>
          <w:color w:val="231F20"/>
        </w:rPr>
        <w:t>status</w:t>
      </w:r>
      <w:r>
        <w:rPr>
          <w:color w:val="231F20"/>
          <w:spacing w:val="33"/>
        </w:rPr>
        <w:t> </w:t>
      </w:r>
      <w:r>
        <w:rPr>
          <w:color w:val="231F20"/>
        </w:rPr>
        <w:t>was</w:t>
      </w:r>
      <w:r>
        <w:rPr>
          <w:color w:val="231F20"/>
          <w:spacing w:val="33"/>
        </w:rPr>
        <w:t> </w:t>
      </w:r>
      <w:r>
        <w:rPr>
          <w:color w:val="231F20"/>
        </w:rPr>
        <w:t>defined</w:t>
      </w:r>
      <w:r>
        <w:rPr>
          <w:color w:val="231F20"/>
          <w:spacing w:val="33"/>
        </w:rPr>
        <w:t> </w:t>
      </w:r>
      <w:r>
        <w:rPr>
          <w:color w:val="231F20"/>
        </w:rPr>
        <w:t>as</w:t>
      </w:r>
      <w:r>
        <w:rPr>
          <w:color w:val="231F20"/>
          <w:spacing w:val="33"/>
        </w:rPr>
        <w:t> </w:t>
      </w:r>
      <w:r>
        <w:rPr>
          <w:color w:val="231F20"/>
        </w:rPr>
        <w:t>having</w:t>
      </w:r>
      <w:r>
        <w:rPr>
          <w:color w:val="231F20"/>
          <w:spacing w:val="33"/>
        </w:rPr>
        <w:t> </w:t>
      </w:r>
      <w:r>
        <w:rPr>
          <w:color w:val="231F20"/>
        </w:rPr>
        <w:t>Lawton</w:t>
      </w:r>
      <w:r>
        <w:rPr>
          <w:color w:val="231F20"/>
          <w:spacing w:val="34"/>
        </w:rPr>
        <w:t> </w:t>
      </w:r>
      <w:r>
        <w:rPr>
          <w:color w:val="231F20"/>
        </w:rPr>
        <w:t>scores</w:t>
      </w:r>
      <w:r>
        <w:rPr>
          <w:color w:val="231F20"/>
          <w:spacing w:val="-48"/>
        </w:rPr>
        <w:t> </w:t>
      </w:r>
      <w:r>
        <w:rPr>
          <w:color w:val="231F20"/>
        </w:rPr>
        <w:t>of eight (Lawton </w:t>
      </w:r>
      <w:r>
        <w:rPr>
          <w:i/>
          <w:color w:val="231F20"/>
        </w:rPr>
        <w:t>et al</w:t>
      </w:r>
      <w:r>
        <w:rPr>
          <w:color w:val="231F20"/>
        </w:rPr>
        <w:t>., 1969; Kadar </w:t>
      </w:r>
      <w:r>
        <w:rPr>
          <w:i/>
          <w:color w:val="231F20"/>
        </w:rPr>
        <w:t>et al</w:t>
      </w:r>
      <w:r>
        <w:rPr>
          <w:color w:val="231F20"/>
        </w:rPr>
        <w:t>., 2018).</w:t>
      </w:r>
      <w:r>
        <w:rPr>
          <w:color w:val="231F20"/>
          <w:spacing w:val="1"/>
        </w:rPr>
        <w:t> </w:t>
      </w:r>
      <w:r>
        <w:rPr>
          <w:color w:val="231F20"/>
        </w:rPr>
        <w:t>Lawton IADL scale was introduced by Lawton </w:t>
      </w:r>
      <w:r>
        <w:rPr>
          <w:i/>
          <w:color w:val="231F20"/>
        </w:rPr>
        <w:t>et 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(1969), translated into Malay, and validated by Kadar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(2018)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Cronbach’s</w:t>
      </w:r>
      <w:r>
        <w:rPr>
          <w:color w:val="231F20"/>
          <w:spacing w:val="10"/>
        </w:rPr>
        <w:t> </w:t>
      </w:r>
      <w:r>
        <w:rPr>
          <w:color w:val="231F20"/>
        </w:rPr>
        <w:t>Alpha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0.84.</w:t>
      </w:r>
      <w:r>
        <w:rPr>
          <w:color w:val="231F20"/>
          <w:spacing w:val="12"/>
        </w:rPr>
        <w:t> </w:t>
      </w:r>
      <w:r>
        <w:rPr>
          <w:color w:val="231F20"/>
        </w:rPr>
        <w:t>Permission to use the Malay version of the Lawton</w:t>
      </w:r>
      <w:r>
        <w:rPr>
          <w:color w:val="231F20"/>
          <w:spacing w:val="1"/>
        </w:rPr>
        <w:t> </w:t>
      </w:r>
      <w:r>
        <w:rPr>
          <w:color w:val="231F20"/>
        </w:rPr>
        <w:t>IADL scale was obtained from the Oxford University</w:t>
      </w:r>
      <w:r>
        <w:rPr>
          <w:color w:val="231F20"/>
          <w:spacing w:val="-47"/>
        </w:rPr>
        <w:t> </w:t>
      </w:r>
      <w:r>
        <w:rPr>
          <w:color w:val="231F20"/>
        </w:rPr>
        <w:t>Press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owns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copyright.</w:t>
      </w:r>
      <w:r>
        <w:rPr>
          <w:color w:val="231F20"/>
          <w:spacing w:val="10"/>
        </w:rPr>
        <w:t> </w:t>
      </w:r>
      <w:r>
        <w:rPr>
          <w:color w:val="231F20"/>
        </w:rPr>
        <w:t>ECAQ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was</w:t>
      </w:r>
      <w:r>
        <w:rPr>
          <w:color w:val="231F20"/>
          <w:spacing w:val="-47"/>
        </w:rPr>
        <w:t> </w:t>
      </w:r>
      <w:r>
        <w:rPr>
          <w:color w:val="231F20"/>
        </w:rPr>
        <w:t>developed by Kua and Ko (1992), translated into a</w:t>
      </w:r>
      <w:r>
        <w:rPr>
          <w:color w:val="231F20"/>
          <w:spacing w:val="1"/>
        </w:rPr>
        <w:t> </w:t>
      </w:r>
      <w:r>
        <w:rPr>
          <w:color w:val="231F20"/>
        </w:rPr>
        <w:t>Malay</w:t>
      </w:r>
      <w:r>
        <w:rPr>
          <w:color w:val="231F20"/>
          <w:spacing w:val="1"/>
        </w:rPr>
        <w:t> </w:t>
      </w:r>
      <w:r>
        <w:rPr>
          <w:color w:val="231F20"/>
        </w:rPr>
        <w:t>version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year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-47"/>
        </w:rPr>
        <w:t> </w:t>
      </w:r>
      <w:r>
        <w:rPr>
          <w:color w:val="231F20"/>
        </w:rPr>
        <w:t>author</w:t>
      </w:r>
      <w:r>
        <w:rPr>
          <w:color w:val="231F20"/>
          <w:spacing w:val="31"/>
        </w:rPr>
        <w:t> </w:t>
      </w:r>
      <w:r>
        <w:rPr>
          <w:color w:val="231F20"/>
        </w:rPr>
        <w:t>(Kua,</w:t>
      </w:r>
      <w:r>
        <w:rPr>
          <w:color w:val="231F20"/>
          <w:spacing w:val="32"/>
        </w:rPr>
        <w:t> </w:t>
      </w:r>
      <w:r>
        <w:rPr>
          <w:color w:val="231F20"/>
        </w:rPr>
        <w:t>1993).</w:t>
      </w:r>
      <w:r>
        <w:rPr>
          <w:color w:val="231F20"/>
          <w:spacing w:val="31"/>
        </w:rPr>
        <w:t> </w:t>
      </w:r>
      <w:r>
        <w:rPr>
          <w:color w:val="231F20"/>
        </w:rPr>
        <w:t>It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reliable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valid</w:t>
      </w:r>
      <w:r>
        <w:rPr>
          <w:color w:val="231F20"/>
          <w:spacing w:val="31"/>
        </w:rPr>
        <w:t> </w:t>
      </w:r>
      <w:r>
        <w:rPr>
          <w:color w:val="231F20"/>
        </w:rPr>
        <w:t>scale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shows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sensitivity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85.3%,</w:t>
      </w:r>
      <w:r>
        <w:rPr>
          <w:color w:val="231F20"/>
          <w:spacing w:val="1"/>
        </w:rPr>
        <w:t> </w:t>
      </w:r>
      <w:r>
        <w:rPr>
          <w:color w:val="231F20"/>
        </w:rPr>
        <w:t>specificity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91.5%, a positive predictive value of 82.8%. It is an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open-access</w:t>
      </w:r>
      <w:r>
        <w:rPr>
          <w:color w:val="231F20"/>
          <w:spacing w:val="11"/>
        </w:rPr>
        <w:t> </w:t>
      </w:r>
      <w:r>
        <w:rPr>
          <w:color w:val="231F20"/>
          <w:spacing w:val="10"/>
        </w:rPr>
        <w:t>questionnaire.</w:t>
      </w:r>
      <w:r>
        <w:rPr>
          <w:color w:val="231F20"/>
          <w:spacing w:val="11"/>
        </w:rPr>
        <w:t> </w:t>
      </w:r>
      <w:r>
        <w:rPr>
          <w:color w:val="231F20"/>
        </w:rPr>
        <w:t>ECAQ</w:t>
      </w:r>
      <w:r>
        <w:rPr>
          <w:color w:val="231F20"/>
          <w:spacing w:val="1"/>
        </w:rPr>
        <w:t> </w:t>
      </w:r>
      <w:r>
        <w:rPr>
          <w:color w:val="231F20"/>
        </w:rPr>
        <w:t>score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&lt;5</w:t>
      </w:r>
      <w:r>
        <w:rPr>
          <w:color w:val="231F20"/>
          <w:spacing w:val="1"/>
        </w:rPr>
        <w:t> </w:t>
      </w:r>
      <w:r>
        <w:rPr>
          <w:color w:val="231F20"/>
        </w:rPr>
        <w:t>indicates probable dementia or cognitive impairment</w:t>
      </w:r>
      <w:r>
        <w:rPr>
          <w:color w:val="231F20"/>
          <w:spacing w:val="1"/>
        </w:rPr>
        <w:t> </w:t>
      </w:r>
      <w:r>
        <w:rPr>
          <w:color w:val="231F20"/>
        </w:rPr>
        <w:t>and the respondents will be excluded from the study</w:t>
      </w:r>
      <w:r>
        <w:rPr>
          <w:color w:val="231F20"/>
          <w:spacing w:val="1"/>
        </w:rPr>
        <w:t> </w:t>
      </w:r>
      <w:r>
        <w:rPr>
          <w:color w:val="231F20"/>
        </w:rPr>
        <w:t>(Graciani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2004;</w:t>
      </w:r>
      <w:r>
        <w:rPr>
          <w:color w:val="231F20"/>
          <w:spacing w:val="-12"/>
        </w:rPr>
        <w:t> </w:t>
      </w:r>
      <w:r>
        <w:rPr>
          <w:color w:val="231F20"/>
        </w:rPr>
        <w:t>Mellouli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2017).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those</w:t>
      </w:r>
      <w:r>
        <w:rPr>
          <w:color w:val="231F20"/>
          <w:spacing w:val="-47"/>
        </w:rPr>
        <w:t> </w:t>
      </w:r>
      <w:r>
        <w:rPr>
          <w:color w:val="231F20"/>
        </w:rPr>
        <w:t>with an ECAQ score of 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5, were further divided into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groups;</w:t>
      </w:r>
      <w:r>
        <w:rPr>
          <w:color w:val="231F20"/>
          <w:spacing w:val="-6"/>
        </w:rPr>
        <w:t> </w:t>
      </w:r>
      <w:r>
        <w:rPr>
          <w:color w:val="231F20"/>
        </w:rPr>
        <w:t>normal</w:t>
      </w:r>
      <w:r>
        <w:rPr>
          <w:color w:val="231F20"/>
          <w:spacing w:val="-7"/>
        </w:rPr>
        <w:t> </w:t>
      </w:r>
      <w:r>
        <w:rPr>
          <w:color w:val="231F20"/>
        </w:rPr>
        <w:t>(ECAQ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7)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impaired</w:t>
      </w:r>
      <w:r>
        <w:rPr>
          <w:color w:val="231F20"/>
          <w:spacing w:val="-6"/>
        </w:rPr>
        <w:t> </w:t>
      </w:r>
      <w:r>
        <w:rPr>
          <w:color w:val="231F20"/>
        </w:rPr>
        <w:t>(ECAQ</w:t>
      </w:r>
      <w:r>
        <w:rPr>
          <w:color w:val="231F20"/>
          <w:spacing w:val="-48"/>
        </w:rPr>
        <w:t> </w:t>
      </w:r>
      <w:r>
        <w:rPr>
          <w:color w:val="231F20"/>
        </w:rPr>
        <w:t>5-6).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measured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Malay</w:t>
      </w:r>
      <w:r>
        <w:rPr>
          <w:color w:val="231F20"/>
          <w:spacing w:val="1"/>
        </w:rPr>
        <w:t> </w:t>
      </w:r>
      <w:r>
        <w:rPr>
          <w:color w:val="231F20"/>
        </w:rPr>
        <w:t>version</w:t>
      </w:r>
      <w:r>
        <w:rPr>
          <w:color w:val="231F20"/>
          <w:spacing w:val="-47"/>
        </w:rPr>
        <w:t> </w:t>
      </w:r>
      <w:r>
        <w:rPr>
          <w:color w:val="231F20"/>
        </w:rPr>
        <w:t>GDS-14.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validated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Teh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Hasanah</w:t>
      </w:r>
      <w:r>
        <w:rPr>
          <w:color w:val="231F20"/>
          <w:spacing w:val="-6"/>
        </w:rPr>
        <w:t> </w:t>
      </w:r>
      <w:r>
        <w:rPr>
          <w:color w:val="231F20"/>
        </w:rPr>
        <w:t>(2004)</w:t>
      </w:r>
      <w:r>
        <w:rPr>
          <w:color w:val="231F20"/>
          <w:spacing w:val="-47"/>
        </w:rPr>
        <w:t> </w:t>
      </w:r>
      <w:r>
        <w:rPr>
          <w:color w:val="231F20"/>
        </w:rPr>
        <w:t>with Cronbach’s alpha of 0.84. The elderly with a</w:t>
      </w:r>
      <w:r>
        <w:rPr>
          <w:color w:val="231F20"/>
          <w:spacing w:val="1"/>
        </w:rPr>
        <w:t> </w:t>
      </w:r>
      <w:r>
        <w:rPr>
          <w:color w:val="231F20"/>
        </w:rPr>
        <w:t>score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labeled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symptoms. Social support is measured by shortened</w:t>
      </w:r>
      <w:r>
        <w:rPr>
          <w:color w:val="231F20"/>
          <w:spacing w:val="1"/>
        </w:rPr>
        <w:t> </w:t>
      </w:r>
      <w:r>
        <w:rPr>
          <w:color w:val="231F20"/>
        </w:rPr>
        <w:t>11-item version of DSSI (Ismail </w:t>
      </w:r>
      <w:r>
        <w:rPr>
          <w:i/>
          <w:color w:val="231F20"/>
        </w:rPr>
        <w:t>et al</w:t>
      </w:r>
      <w:r>
        <w:rPr>
          <w:color w:val="231F20"/>
        </w:rPr>
        <w:t>., 2016). This</w:t>
      </w:r>
      <w:r>
        <w:rPr>
          <w:color w:val="231F20"/>
          <w:spacing w:val="1"/>
        </w:rPr>
        <w:t> </w:t>
      </w:r>
      <w:r>
        <w:rPr>
          <w:color w:val="231F20"/>
        </w:rPr>
        <w:t>scale was introduced by Koenig </w:t>
      </w:r>
      <w:r>
        <w:rPr>
          <w:i/>
          <w:color w:val="231F20"/>
        </w:rPr>
        <w:t>et al</w:t>
      </w:r>
      <w:r>
        <w:rPr>
          <w:color w:val="231F20"/>
        </w:rPr>
        <w:t>. (1993) and was</w:t>
      </w:r>
      <w:r>
        <w:rPr>
          <w:color w:val="231F20"/>
          <w:spacing w:val="-47"/>
        </w:rPr>
        <w:t> </w:t>
      </w:r>
      <w:r>
        <w:rPr>
          <w:color w:val="231F20"/>
        </w:rPr>
        <w:t>translated into Malay and validated by Ismail </w:t>
      </w:r>
      <w:r>
        <w:rPr>
          <w:i/>
          <w:color w:val="231F20"/>
        </w:rPr>
        <w:t>et 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(2016) with Cronbach‘s alpha of 0.79. It consists of</w:t>
      </w:r>
      <w:r>
        <w:rPr>
          <w:color w:val="231F20"/>
          <w:spacing w:val="1"/>
        </w:rPr>
        <w:t> </w:t>
      </w:r>
      <w:r>
        <w:rPr>
          <w:color w:val="231F20"/>
        </w:rPr>
        <w:t>11</w:t>
      </w:r>
      <w:r>
        <w:rPr>
          <w:color w:val="231F20"/>
          <w:spacing w:val="28"/>
        </w:rPr>
        <w:t> </w:t>
      </w:r>
      <w:r>
        <w:rPr>
          <w:color w:val="231F20"/>
        </w:rPr>
        <w:t>items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two</w:t>
      </w:r>
      <w:r>
        <w:rPr>
          <w:color w:val="231F20"/>
          <w:spacing w:val="28"/>
        </w:rPr>
        <w:t> </w:t>
      </w:r>
      <w:r>
        <w:rPr>
          <w:color w:val="231F20"/>
        </w:rPr>
        <w:t>subscales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social</w:t>
      </w:r>
      <w:r>
        <w:rPr>
          <w:color w:val="231F20"/>
          <w:spacing w:val="28"/>
        </w:rPr>
        <w:t> </w:t>
      </w:r>
      <w:r>
        <w:rPr>
          <w:color w:val="231F20"/>
        </w:rPr>
        <w:t>interaction</w:t>
      </w:r>
      <w:r>
        <w:rPr>
          <w:color w:val="231F20"/>
          <w:spacing w:val="-48"/>
        </w:rPr>
        <w:t> </w:t>
      </w:r>
      <w:r>
        <w:rPr>
          <w:color w:val="231F20"/>
        </w:rPr>
        <w:t>(4 items) and subjective support (7 items). A higher</w:t>
      </w:r>
      <w:r>
        <w:rPr>
          <w:color w:val="231F20"/>
          <w:spacing w:val="1"/>
        </w:rPr>
        <w:t> </w:t>
      </w:r>
      <w:r>
        <w:rPr>
          <w:color w:val="231F20"/>
        </w:rPr>
        <w:t>score (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27) in DSSI indicates a high social support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-9"/>
        </w:rPr>
        <w:t> </w:t>
      </w:r>
      <w:r>
        <w:rPr>
          <w:color w:val="231F20"/>
        </w:rPr>
        <w:t>(Strodl</w:t>
      </w:r>
      <w:r>
        <w:rPr>
          <w:color w:val="231F20"/>
          <w:spacing w:val="-8"/>
        </w:rPr>
        <w:t> </w:t>
      </w:r>
      <w:r>
        <w:rPr>
          <w:color w:val="231F20"/>
        </w:rPr>
        <w:t>&amp;</w:t>
      </w:r>
      <w:r>
        <w:rPr>
          <w:color w:val="231F20"/>
          <w:spacing w:val="-8"/>
        </w:rPr>
        <w:t> </w:t>
      </w:r>
      <w:r>
        <w:rPr>
          <w:color w:val="231F20"/>
        </w:rPr>
        <w:t>Kenardy,</w:t>
      </w:r>
      <w:r>
        <w:rPr>
          <w:color w:val="231F20"/>
          <w:spacing w:val="-9"/>
        </w:rPr>
        <w:t> </w:t>
      </w:r>
      <w:r>
        <w:rPr>
          <w:color w:val="231F20"/>
        </w:rPr>
        <w:t>2008;</w:t>
      </w:r>
      <w:r>
        <w:rPr>
          <w:color w:val="231F20"/>
          <w:spacing w:val="-8"/>
        </w:rPr>
        <w:t> </w:t>
      </w:r>
      <w:r>
        <w:rPr>
          <w:color w:val="231F20"/>
        </w:rPr>
        <w:t>Ismail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8"/>
        </w:rPr>
        <w:t> </w:t>
      </w:r>
      <w:r>
        <w:rPr>
          <w:color w:val="231F20"/>
        </w:rPr>
        <w:t>2016).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6" w:space="412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Heading2"/>
        <w:spacing w:before="92"/>
      </w:pPr>
      <w:r>
        <w:rPr>
          <w:color w:val="231F20"/>
        </w:rPr>
        <w:t>Statistical</w:t>
      </w:r>
      <w:r>
        <w:rPr>
          <w:color w:val="231F20"/>
          <w:spacing w:val="10"/>
        </w:rPr>
        <w:t> </w:t>
      </w:r>
      <w:r>
        <w:rPr>
          <w:color w:val="231F20"/>
        </w:rPr>
        <w:t>analysis</w:t>
      </w:r>
    </w:p>
    <w:p>
      <w:pPr>
        <w:pStyle w:val="BodyText"/>
        <w:spacing w:line="240" w:lineRule="exact" w:before="5"/>
        <w:ind w:left="387" w:right="38" w:firstLine="328"/>
        <w:jc w:val="both"/>
      </w:pPr>
      <w:r>
        <w:rPr>
          <w:color w:val="231F20"/>
        </w:rPr>
        <w:t>Data</w:t>
      </w:r>
      <w:r>
        <w:rPr>
          <w:color w:val="231F20"/>
          <w:spacing w:val="30"/>
        </w:rPr>
        <w:t> </w:t>
      </w:r>
      <w:r>
        <w:rPr>
          <w:color w:val="231F20"/>
        </w:rPr>
        <w:t>entry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analysis</w:t>
      </w:r>
      <w:r>
        <w:rPr>
          <w:color w:val="231F20"/>
          <w:spacing w:val="30"/>
        </w:rPr>
        <w:t> </w:t>
      </w:r>
      <w:r>
        <w:rPr>
          <w:color w:val="231F20"/>
        </w:rPr>
        <w:t>were</w:t>
      </w:r>
      <w:r>
        <w:rPr>
          <w:color w:val="231F20"/>
          <w:spacing w:val="30"/>
        </w:rPr>
        <w:t> </w:t>
      </w:r>
      <w:r>
        <w:rPr>
          <w:color w:val="231F20"/>
        </w:rPr>
        <w:t>carried</w:t>
      </w:r>
      <w:r>
        <w:rPr>
          <w:color w:val="231F20"/>
          <w:spacing w:val="31"/>
        </w:rPr>
        <w:t> </w:t>
      </w:r>
      <w:r>
        <w:rPr>
          <w:color w:val="231F20"/>
        </w:rPr>
        <w:t>out</w:t>
      </w:r>
      <w:r>
        <w:rPr>
          <w:color w:val="231F20"/>
          <w:spacing w:val="30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the SPSS version 22.0 software. The demographic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clinical </w:t>
      </w:r>
      <w:r>
        <w:rPr>
          <w:color w:val="231F20"/>
          <w:spacing w:val="10"/>
        </w:rPr>
        <w:t>characteristics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tabulated </w:t>
      </w:r>
      <w:r>
        <w:rPr>
          <w:color w:val="231F20"/>
          <w:spacing w:val="11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descriptive</w:t>
      </w:r>
      <w:r>
        <w:rPr>
          <w:color w:val="231F20"/>
          <w:spacing w:val="1"/>
        </w:rPr>
        <w:t> </w:t>
      </w:r>
      <w:r>
        <w:rPr>
          <w:color w:val="231F20"/>
        </w:rPr>
        <w:t>characteristics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51"/>
        </w:rPr>
        <w:t> </w:t>
      </w:r>
      <w:r>
        <w:rPr>
          <w:color w:val="231F20"/>
        </w:rPr>
        <w:t>numerical</w:t>
      </w:r>
      <w:r>
        <w:rPr>
          <w:color w:val="231F20"/>
          <w:spacing w:val="51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presented</w:t>
      </w:r>
      <w:r>
        <w:rPr>
          <w:color w:val="231F20"/>
          <w:spacing w:val="10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mean</w:t>
      </w:r>
      <w:r>
        <w:rPr>
          <w:color w:val="231F20"/>
          <w:spacing w:val="50"/>
        </w:rPr>
        <w:t> </w:t>
      </w:r>
      <w:r>
        <w:rPr>
          <w:color w:val="231F20"/>
        </w:rPr>
        <w:t>(SD)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  <w:spacing w:val="11"/>
        </w:rPr>
        <w:t>categorical</w:t>
      </w:r>
      <w:r>
        <w:rPr>
          <w:color w:val="231F20"/>
          <w:spacing w:val="12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presented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frequency</w:t>
      </w:r>
      <w:r>
        <w:rPr>
          <w:color w:val="231F20"/>
          <w:spacing w:val="1"/>
        </w:rPr>
        <w:t> </w:t>
      </w:r>
      <w:r>
        <w:rPr>
          <w:color w:val="231F20"/>
        </w:rPr>
        <w:t>(%).</w:t>
      </w:r>
      <w:r>
        <w:rPr>
          <w:color w:val="231F20"/>
          <w:spacing w:val="1"/>
        </w:rPr>
        <w:t> </w:t>
      </w:r>
      <w:r>
        <w:rPr>
          <w:color w:val="231F20"/>
        </w:rPr>
        <w:t>Logistic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regression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models</w:t>
      </w:r>
      <w:r>
        <w:rPr>
          <w:color w:val="231F20"/>
          <w:spacing w:val="10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analyze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status. A preliminary main effect model was obtained</w:t>
      </w:r>
      <w:r>
        <w:rPr>
          <w:color w:val="231F20"/>
          <w:spacing w:val="-47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auto-forward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selection.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single</w:t>
      </w:r>
      <w:r>
        <w:rPr>
          <w:color w:val="231F20"/>
          <w:spacing w:val="12"/>
        </w:rPr>
        <w:t> </w:t>
      </w:r>
      <w:r>
        <w:rPr>
          <w:color w:val="231F20"/>
        </w:rPr>
        <w:t>dichotomous</w:t>
      </w:r>
      <w:r>
        <w:rPr>
          <w:color w:val="231F20"/>
          <w:spacing w:val="18"/>
        </w:rPr>
        <w:t> </w:t>
      </w:r>
      <w:r>
        <w:rPr>
          <w:color w:val="231F20"/>
        </w:rPr>
        <w:t>outcome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IADL</w:t>
      </w:r>
      <w:r>
        <w:rPr>
          <w:color w:val="231F20"/>
          <w:spacing w:val="18"/>
        </w:rPr>
        <w:t> </w:t>
      </w:r>
      <w:r>
        <w:rPr>
          <w:color w:val="231F20"/>
        </w:rPr>
        <w:t>status</w:t>
      </w:r>
      <w:r>
        <w:rPr>
          <w:color w:val="231F20"/>
          <w:spacing w:val="18"/>
        </w:rPr>
        <w:t> </w:t>
      </w:r>
      <w:r>
        <w:rPr>
          <w:color w:val="231F20"/>
        </w:rPr>
        <w:t>was</w:t>
      </w:r>
      <w:r>
        <w:rPr>
          <w:color w:val="231F20"/>
          <w:spacing w:val="19"/>
        </w:rPr>
        <w:t> </w:t>
      </w:r>
      <w:r>
        <w:rPr>
          <w:color w:val="231F20"/>
        </w:rPr>
        <w:t>coded</w:t>
      </w:r>
      <w:r>
        <w:rPr>
          <w:color w:val="231F20"/>
          <w:spacing w:val="18"/>
        </w:rPr>
        <w:t> </w:t>
      </w:r>
      <w:r>
        <w:rPr>
          <w:color w:val="231F20"/>
        </w:rPr>
        <w:t>as</w:t>
      </w:r>
      <w:r>
        <w:rPr>
          <w:color w:val="231F20"/>
          <w:spacing w:val="-48"/>
        </w:rPr>
        <w:t> </w:t>
      </w:r>
      <w:r>
        <w:rPr>
          <w:color w:val="231F20"/>
        </w:rPr>
        <w:t>0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non-disabled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disabled</w:t>
      </w:r>
      <w:r>
        <w:rPr>
          <w:color w:val="231F20"/>
          <w:spacing w:val="1"/>
        </w:rPr>
        <w:t> </w:t>
      </w:r>
      <w:r>
        <w:rPr>
          <w:color w:val="231F20"/>
        </w:rPr>
        <w:t>status.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variables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explored</w:t>
      </w:r>
      <w:r>
        <w:rPr>
          <w:color w:val="231F20"/>
          <w:spacing w:val="-11"/>
        </w:rPr>
        <w:t> </w:t>
      </w:r>
      <w:r>
        <w:rPr>
          <w:color w:val="231F20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</w:rPr>
        <w:t>age,</w:t>
      </w:r>
      <w:r>
        <w:rPr>
          <w:color w:val="231F20"/>
          <w:spacing w:val="-11"/>
        </w:rPr>
        <w:t> </w:t>
      </w:r>
      <w:r>
        <w:rPr>
          <w:color w:val="231F20"/>
        </w:rPr>
        <w:t>sex,</w:t>
      </w:r>
      <w:r>
        <w:rPr>
          <w:color w:val="231F20"/>
          <w:spacing w:val="-11"/>
        </w:rPr>
        <w:t> </w:t>
      </w:r>
      <w:r>
        <w:rPr>
          <w:color w:val="231F20"/>
        </w:rPr>
        <w:t>marital</w:t>
      </w:r>
      <w:r>
        <w:rPr>
          <w:color w:val="231F20"/>
          <w:spacing w:val="-11"/>
        </w:rPr>
        <w:t> </w:t>
      </w:r>
      <w:r>
        <w:rPr>
          <w:color w:val="231F20"/>
        </w:rPr>
        <w:t>status,</w:t>
      </w:r>
      <w:r>
        <w:rPr>
          <w:color w:val="231F20"/>
          <w:spacing w:val="-11"/>
        </w:rPr>
        <w:t> </w:t>
      </w:r>
      <w:r>
        <w:rPr>
          <w:color w:val="231F20"/>
        </w:rPr>
        <w:t>living</w:t>
      </w:r>
      <w:r>
        <w:rPr>
          <w:color w:val="231F20"/>
          <w:spacing w:val="-48"/>
        </w:rPr>
        <w:t> </w:t>
      </w:r>
      <w:r>
        <w:rPr>
          <w:color w:val="231F20"/>
        </w:rPr>
        <w:t>arrangement, educational status, individual monthly</w:t>
      </w:r>
      <w:r>
        <w:rPr>
          <w:color w:val="231F20"/>
          <w:spacing w:val="1"/>
        </w:rPr>
        <w:t> </w:t>
      </w:r>
      <w:r>
        <w:rPr>
          <w:color w:val="231F20"/>
        </w:rPr>
        <w:t>income,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chronic</w:t>
      </w:r>
      <w:r>
        <w:rPr>
          <w:color w:val="231F20"/>
          <w:spacing w:val="1"/>
        </w:rPr>
        <w:t> </w:t>
      </w:r>
      <w:r>
        <w:rPr>
          <w:color w:val="231F20"/>
        </w:rPr>
        <w:t>diseases,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medications,</w:t>
      </w:r>
      <w:r>
        <w:rPr>
          <w:color w:val="231F20"/>
          <w:spacing w:val="10"/>
        </w:rPr>
        <w:t> </w:t>
      </w:r>
      <w:r>
        <w:rPr>
          <w:color w:val="231F20"/>
        </w:rPr>
        <w:t>self-rated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status,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cognitive</w:t>
      </w:r>
      <w:r>
        <w:rPr>
          <w:color w:val="231F20"/>
          <w:spacing w:val="11"/>
        </w:rPr>
        <w:t> </w:t>
      </w:r>
      <w:r>
        <w:rPr>
          <w:color w:val="231F20"/>
        </w:rPr>
        <w:t>function,</w:t>
      </w:r>
      <w:r>
        <w:rPr>
          <w:color w:val="231F20"/>
          <w:spacing w:val="1"/>
        </w:rPr>
        <w:t> </w:t>
      </w:r>
      <w:r>
        <w:rPr>
          <w:color w:val="231F20"/>
        </w:rPr>
        <w:t>depressive</w:t>
      </w:r>
      <w:r>
        <w:rPr>
          <w:color w:val="231F20"/>
          <w:spacing w:val="1"/>
        </w:rPr>
        <w:t> </w:t>
      </w:r>
      <w:r>
        <w:rPr>
          <w:color w:val="231F20"/>
        </w:rPr>
        <w:t>symptoms,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support, smoking status, alcohol intake, and physical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activity.</w:t>
      </w:r>
      <w:r>
        <w:rPr>
          <w:color w:val="231F20"/>
          <w:spacing w:val="1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variables</w:t>
      </w:r>
      <w:r>
        <w:rPr>
          <w:color w:val="231F20"/>
          <w:spacing w:val="10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analyzed</w:t>
      </w:r>
      <w:r>
        <w:rPr>
          <w:color w:val="231F20"/>
          <w:spacing w:val="11"/>
        </w:rPr>
        <w:t> </w:t>
      </w:r>
      <w:r>
        <w:rPr>
          <w:color w:val="231F20"/>
          <w:spacing w:val="12"/>
        </w:rPr>
        <w:t>as</w:t>
      </w:r>
      <w:r>
        <w:rPr>
          <w:color w:val="231F20"/>
          <w:spacing w:val="13"/>
        </w:rPr>
        <w:t> </w:t>
      </w:r>
      <w:r>
        <w:rPr>
          <w:color w:val="231F20"/>
        </w:rPr>
        <w:t>categorical</w:t>
      </w:r>
      <w:r>
        <w:rPr>
          <w:color w:val="231F20"/>
          <w:spacing w:val="-9"/>
        </w:rPr>
        <w:t> </w:t>
      </w:r>
      <w:r>
        <w:rPr>
          <w:color w:val="231F20"/>
        </w:rPr>
        <w:t>variables.</w:t>
      </w:r>
      <w:r>
        <w:rPr>
          <w:color w:val="231F20"/>
          <w:spacing w:val="-8"/>
        </w:rPr>
        <w:t> </w:t>
      </w:r>
      <w:r>
        <w:rPr>
          <w:color w:val="231F20"/>
        </w:rPr>
        <w:t>Age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9"/>
        </w:rPr>
        <w:t> </w:t>
      </w:r>
      <w:r>
        <w:rPr>
          <w:color w:val="231F20"/>
        </w:rPr>
        <w:t>categorized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“60-69”</w:t>
      </w:r>
      <w:r>
        <w:rPr>
          <w:color w:val="231F20"/>
          <w:spacing w:val="-4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70"</w:t>
      </w:r>
      <w:r>
        <w:rPr>
          <w:color w:val="231F20"/>
          <w:spacing w:val="-5"/>
        </w:rPr>
        <w:t> </w:t>
      </w:r>
      <w:r>
        <w:rPr>
          <w:color w:val="231F20"/>
        </w:rPr>
        <w:t>years,</w:t>
      </w:r>
      <w:r>
        <w:rPr>
          <w:color w:val="231F20"/>
          <w:spacing w:val="-5"/>
        </w:rPr>
        <w:t> </w:t>
      </w:r>
      <w:r>
        <w:rPr>
          <w:color w:val="231F20"/>
        </w:rPr>
        <w:t>sex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characterized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“male”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8"/>
        </w:rPr>
        <w:t> </w:t>
      </w:r>
      <w:r>
        <w:rPr>
          <w:color w:val="231F20"/>
        </w:rPr>
        <w:t>“female”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marital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recategorized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“married”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“unmarried”.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single,</w:t>
      </w:r>
      <w:r>
        <w:rPr>
          <w:color w:val="231F20"/>
          <w:spacing w:val="-8"/>
        </w:rPr>
        <w:t> </w:t>
      </w:r>
      <w:r>
        <w:rPr>
          <w:color w:val="231F20"/>
        </w:rPr>
        <w:t>divorced,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48"/>
        </w:rPr>
        <w:t> </w:t>
      </w:r>
      <w:r>
        <w:rPr>
          <w:color w:val="231F20"/>
        </w:rPr>
        <w:t>widowed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groups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categorized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unmarried group because of the small sample size.</w:t>
      </w:r>
      <w:r>
        <w:rPr>
          <w:color w:val="231F20"/>
          <w:spacing w:val="1"/>
        </w:rPr>
        <w:t> </w:t>
      </w:r>
      <w:r>
        <w:rPr>
          <w:color w:val="231F20"/>
        </w:rPr>
        <w:t>Living arrangement was divided into “living alone”</w:t>
      </w:r>
      <w:r>
        <w:rPr>
          <w:color w:val="231F20"/>
          <w:spacing w:val="1"/>
        </w:rPr>
        <w:t> </w:t>
      </w:r>
      <w:r>
        <w:rPr>
          <w:color w:val="231F20"/>
        </w:rPr>
        <w:t>or “living with others”. Individual monthly income</w:t>
      </w:r>
      <w:r>
        <w:rPr>
          <w:color w:val="231F20"/>
          <w:spacing w:val="1"/>
        </w:rPr>
        <w:t> </w:t>
      </w:r>
      <w:r>
        <w:rPr>
          <w:color w:val="231F20"/>
        </w:rPr>
        <w:t>was divided into two categories; “&lt;RM1,000” and</w:t>
      </w:r>
      <w:r>
        <w:rPr>
          <w:color w:val="231F20"/>
          <w:spacing w:val="1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RM1,000" (Institute for Public Health, 2018), and</w:t>
      </w:r>
      <w:r>
        <w:rPr>
          <w:color w:val="231F20"/>
          <w:spacing w:val="1"/>
        </w:rPr>
        <w:t> </w:t>
      </w:r>
      <w:r>
        <w:rPr>
          <w:color w:val="231F20"/>
        </w:rPr>
        <w:t>educational status was divided into three groups of</w:t>
      </w:r>
      <w:r>
        <w:rPr>
          <w:color w:val="231F20"/>
          <w:spacing w:val="1"/>
        </w:rPr>
        <w:t> </w:t>
      </w:r>
      <w:r>
        <w:rPr>
          <w:color w:val="231F20"/>
        </w:rPr>
        <w:t>“no</w:t>
      </w:r>
      <w:r>
        <w:rPr>
          <w:color w:val="231F20"/>
          <w:spacing w:val="1"/>
        </w:rPr>
        <w:t> </w:t>
      </w:r>
      <w:r>
        <w:rPr>
          <w:color w:val="231F20"/>
        </w:rPr>
        <w:t>formal</w:t>
      </w:r>
      <w:r>
        <w:rPr>
          <w:color w:val="231F20"/>
          <w:spacing w:val="1"/>
        </w:rPr>
        <w:t> </w:t>
      </w:r>
      <w:r>
        <w:rPr>
          <w:color w:val="231F20"/>
        </w:rPr>
        <w:t>education”,</w:t>
      </w:r>
      <w:r>
        <w:rPr>
          <w:color w:val="231F20"/>
          <w:spacing w:val="1"/>
        </w:rPr>
        <w:t> </w:t>
      </w:r>
      <w:r>
        <w:rPr>
          <w:color w:val="231F20"/>
        </w:rPr>
        <w:t>“primary</w:t>
      </w:r>
      <w:r>
        <w:rPr>
          <w:color w:val="231F20"/>
          <w:spacing w:val="1"/>
        </w:rPr>
        <w:t> </w:t>
      </w:r>
      <w:r>
        <w:rPr>
          <w:color w:val="231F20"/>
        </w:rPr>
        <w:t>education”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“secondary and above education”. For health-related</w:t>
      </w:r>
      <w:r>
        <w:rPr>
          <w:color w:val="231F20"/>
          <w:spacing w:val="1"/>
        </w:rPr>
        <w:t> </w:t>
      </w:r>
      <w:r>
        <w:rPr>
          <w:color w:val="231F20"/>
        </w:rPr>
        <w:t>factors, the number of chronic diseases was divided</w:t>
      </w:r>
      <w:r>
        <w:rPr>
          <w:color w:val="231F20"/>
          <w:spacing w:val="1"/>
        </w:rPr>
        <w:t> </w:t>
      </w:r>
      <w:r>
        <w:rPr>
          <w:color w:val="231F20"/>
        </w:rPr>
        <w:t>into “none”, “one chronic disease” and “more than</w:t>
      </w:r>
      <w:r>
        <w:rPr>
          <w:color w:val="231F20"/>
          <w:spacing w:val="1"/>
        </w:rPr>
        <w:t> </w:t>
      </w:r>
      <w:r>
        <w:rPr>
          <w:color w:val="231F20"/>
        </w:rPr>
        <w:t>one” while the number of medications was divided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groups;</w:t>
      </w:r>
      <w:r>
        <w:rPr>
          <w:color w:val="231F20"/>
          <w:spacing w:val="1"/>
        </w:rPr>
        <w:t> </w:t>
      </w:r>
      <w:r>
        <w:rPr>
          <w:color w:val="231F20"/>
        </w:rPr>
        <w:t>“&lt;5”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&gt;</w:t>
      </w:r>
      <w:r>
        <w:rPr>
          <w:color w:val="231F20"/>
        </w:rPr>
        <w:t>5"</w:t>
      </w:r>
      <w:r>
        <w:rPr>
          <w:color w:val="231F20"/>
          <w:spacing w:val="1"/>
        </w:rPr>
        <w:t> </w:t>
      </w:r>
      <w:r>
        <w:rPr>
          <w:color w:val="231F20"/>
        </w:rPr>
        <w:t>(Connolly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47"/>
        </w:rPr>
        <w:t> </w:t>
      </w:r>
      <w:r>
        <w:rPr>
          <w:color w:val="231F20"/>
        </w:rPr>
        <w:t>2017).</w:t>
      </w:r>
      <w:r>
        <w:rPr>
          <w:color w:val="231F20"/>
          <w:spacing w:val="1"/>
        </w:rPr>
        <w:t> </w:t>
      </w:r>
      <w:r>
        <w:rPr>
          <w:color w:val="231F20"/>
        </w:rPr>
        <w:t>Self-rated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participant‘s</w:t>
      </w:r>
      <w:r>
        <w:rPr>
          <w:color w:val="231F20"/>
          <w:spacing w:val="10"/>
        </w:rPr>
        <w:t> </w:t>
      </w:r>
      <w:r>
        <w:rPr>
          <w:color w:val="231F20"/>
        </w:rPr>
        <w:t>responses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recorded</w:t>
      </w:r>
      <w:r>
        <w:rPr>
          <w:color w:val="231F20"/>
          <w:spacing w:val="50"/>
        </w:rPr>
        <w:t> </w:t>
      </w:r>
      <w:r>
        <w:rPr>
          <w:color w:val="231F20"/>
          <w:spacing w:val="10"/>
        </w:rPr>
        <w:t>as</w:t>
      </w:r>
      <w:r>
        <w:rPr>
          <w:color w:val="231F20"/>
          <w:spacing w:val="11"/>
        </w:rPr>
        <w:t> </w:t>
      </w:r>
      <w:r>
        <w:rPr>
          <w:color w:val="231F20"/>
        </w:rPr>
        <w:t>either ‘Good’ or ‘Fair/Poor’ (Connolly </w:t>
      </w:r>
      <w:r>
        <w:rPr>
          <w:i/>
          <w:color w:val="231F20"/>
        </w:rPr>
        <w:t>et al</w:t>
      </w:r>
      <w:r>
        <w:rPr>
          <w:color w:val="231F20"/>
        </w:rPr>
        <w:t>., 2017).</w:t>
      </w:r>
      <w:r>
        <w:rPr>
          <w:color w:val="231F20"/>
          <w:spacing w:val="1"/>
        </w:rPr>
        <w:t> </w:t>
      </w:r>
      <w:r>
        <w:rPr>
          <w:color w:val="231F20"/>
        </w:rPr>
        <w:t>Cognitive function was classified into “normal” and</w:t>
      </w:r>
      <w:r>
        <w:rPr>
          <w:color w:val="231F20"/>
          <w:spacing w:val="1"/>
        </w:rPr>
        <w:t> </w:t>
      </w:r>
      <w:r>
        <w:rPr>
          <w:color w:val="231F20"/>
        </w:rPr>
        <w:t>“impaired” (Mellouli </w:t>
      </w:r>
      <w:r>
        <w:rPr>
          <w:i/>
          <w:color w:val="231F20"/>
        </w:rPr>
        <w:t>et al</w:t>
      </w:r>
      <w:r>
        <w:rPr>
          <w:color w:val="231F20"/>
        </w:rPr>
        <w:t>., 2017) while the presence</w:t>
      </w:r>
      <w:r>
        <w:rPr>
          <w:color w:val="231F20"/>
          <w:spacing w:val="-47"/>
        </w:rPr>
        <w:t> </w:t>
      </w:r>
      <w:r>
        <w:rPr>
          <w:color w:val="231F20"/>
        </w:rPr>
        <w:t>of depressive symptoms was recorded into “yes” and</w:t>
      </w:r>
      <w:r>
        <w:rPr>
          <w:color w:val="231F20"/>
          <w:spacing w:val="1"/>
        </w:rPr>
        <w:t> </w:t>
      </w:r>
      <w:r>
        <w:rPr>
          <w:color w:val="231F20"/>
        </w:rPr>
        <w:t>“no” (Ismail </w:t>
      </w:r>
      <w:r>
        <w:rPr>
          <w:i/>
          <w:color w:val="231F20"/>
        </w:rPr>
        <w:t>et al</w:t>
      </w:r>
      <w:r>
        <w:rPr>
          <w:color w:val="231F20"/>
        </w:rPr>
        <w:t>., 2016). The social support level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30"/>
        </w:rPr>
        <w:t> </w:t>
      </w:r>
      <w:r>
        <w:rPr>
          <w:color w:val="231F20"/>
        </w:rPr>
        <w:t>divided</w:t>
      </w:r>
      <w:r>
        <w:rPr>
          <w:color w:val="231F20"/>
          <w:spacing w:val="31"/>
        </w:rPr>
        <w:t> </w:t>
      </w:r>
      <w:r>
        <w:rPr>
          <w:color w:val="231F20"/>
        </w:rPr>
        <w:t>into</w:t>
      </w:r>
      <w:r>
        <w:rPr>
          <w:color w:val="231F20"/>
          <w:spacing w:val="30"/>
        </w:rPr>
        <w:t> </w:t>
      </w:r>
      <w:r>
        <w:rPr>
          <w:color w:val="231F20"/>
        </w:rPr>
        <w:t>“low”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“high”</w:t>
      </w:r>
      <w:r>
        <w:rPr>
          <w:color w:val="231F20"/>
          <w:spacing w:val="30"/>
        </w:rPr>
        <w:t> </w:t>
      </w:r>
      <w:r>
        <w:rPr>
          <w:color w:val="231F20"/>
        </w:rPr>
        <w:t>support</w:t>
      </w:r>
      <w:r>
        <w:rPr>
          <w:color w:val="231F20"/>
          <w:spacing w:val="31"/>
        </w:rPr>
        <w:t> </w:t>
      </w:r>
      <w:r>
        <w:rPr>
          <w:color w:val="231F20"/>
        </w:rPr>
        <w:t>(Ismail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2016).</w:t>
      </w:r>
      <w:r>
        <w:rPr>
          <w:color w:val="231F20"/>
          <w:spacing w:val="1"/>
        </w:rPr>
        <w:t> </w:t>
      </w:r>
      <w:r>
        <w:rPr>
          <w:color w:val="231F20"/>
        </w:rPr>
        <w:t>Smoking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alcohol</w:t>
      </w:r>
      <w:r>
        <w:rPr>
          <w:color w:val="231F20"/>
          <w:spacing w:val="50"/>
        </w:rPr>
        <w:t> </w:t>
      </w:r>
      <w:r>
        <w:rPr>
          <w:color w:val="231F20"/>
        </w:rPr>
        <w:t>intake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“yes”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“no”.</w:t>
      </w:r>
      <w:r>
        <w:rPr>
          <w:color w:val="231F20"/>
          <w:spacing w:val="1"/>
        </w:rPr>
        <w:t> </w:t>
      </w:r>
      <w:r>
        <w:rPr>
          <w:color w:val="231F20"/>
        </w:rPr>
        <w:t>Physical</w:t>
      </w:r>
      <w:r>
        <w:rPr>
          <w:color w:val="231F20"/>
          <w:spacing w:val="1"/>
        </w:rPr>
        <w:t> </w:t>
      </w:r>
      <w:r>
        <w:rPr>
          <w:color w:val="231F20"/>
        </w:rPr>
        <w:t>activity</w:t>
      </w:r>
      <w:r>
        <w:rPr>
          <w:color w:val="231F20"/>
          <w:spacing w:val="33"/>
        </w:rPr>
        <w:t> </w:t>
      </w:r>
      <w:r>
        <w:rPr>
          <w:color w:val="231F20"/>
        </w:rPr>
        <w:t>was</w:t>
      </w:r>
      <w:r>
        <w:rPr>
          <w:color w:val="231F20"/>
          <w:spacing w:val="34"/>
        </w:rPr>
        <w:t> </w:t>
      </w:r>
      <w:r>
        <w:rPr>
          <w:color w:val="231F20"/>
        </w:rPr>
        <w:t>classified</w:t>
      </w:r>
      <w:r>
        <w:rPr>
          <w:color w:val="231F20"/>
          <w:spacing w:val="34"/>
        </w:rPr>
        <w:t> </w:t>
      </w:r>
      <w:r>
        <w:rPr>
          <w:color w:val="231F20"/>
        </w:rPr>
        <w:t>into</w:t>
      </w:r>
      <w:r>
        <w:rPr>
          <w:color w:val="231F20"/>
          <w:spacing w:val="34"/>
        </w:rPr>
        <w:t> </w:t>
      </w:r>
      <w:r>
        <w:rPr>
          <w:color w:val="231F20"/>
        </w:rPr>
        <w:t>“active”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“inactive”</w:t>
      </w:r>
      <w:r>
        <w:rPr>
          <w:color w:val="231F20"/>
          <w:spacing w:val="1"/>
        </w:rPr>
        <w:t> (</w:t>
      </w:r>
      <w:r>
        <w:rPr>
          <w:color w:val="231F20"/>
          <w:spacing w:val="-83"/>
        </w:rPr>
        <w:t>C</w:t>
      </w:r>
      <w:r>
        <w:rPr>
          <w:color w:val="231F20"/>
          <w:position w:val="4"/>
        </w:rPr>
        <w:t>´</w:t>
      </w:r>
      <w:r>
        <w:rPr>
          <w:color w:val="231F20"/>
          <w:spacing w:val="-29"/>
          <w:position w:val="4"/>
        </w:rPr>
        <w:t> </w:t>
      </w:r>
      <w:r>
        <w:rPr>
          <w:color w:val="231F20"/>
          <w:spacing w:val="1"/>
        </w:rPr>
        <w:t>wirlej-Soz</w:t>
      </w:r>
      <w:r>
        <w:rPr>
          <w:color w:val="231F20"/>
          <w:spacing w:val="3"/>
        </w:rPr>
        <w:t>a</w:t>
      </w:r>
      <w:r>
        <w:rPr>
          <w:color w:val="231F20"/>
          <w:spacing w:val="-84"/>
        </w:rPr>
        <w:t>n</w:t>
      </w:r>
      <w:r>
        <w:rPr>
          <w:color w:val="231F20"/>
        </w:rPr>
        <w:t>´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sk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i/>
          <w:color w:val="231F20"/>
          <w:spacing w:val="1"/>
        </w:rPr>
        <w:t>e</w:t>
      </w:r>
      <w:r>
        <w:rPr>
          <w:i/>
          <w:color w:val="231F20"/>
        </w:rPr>
        <w:t>t</w:t>
      </w:r>
      <w:r>
        <w:rPr>
          <w:i/>
          <w:color w:val="231F20"/>
          <w:spacing w:val="21"/>
        </w:rPr>
        <w:t> </w:t>
      </w:r>
      <w:r>
        <w:rPr>
          <w:i/>
          <w:color w:val="231F20"/>
          <w:spacing w:val="1"/>
        </w:rPr>
        <w:t>a</w:t>
      </w:r>
      <w:r>
        <w:rPr>
          <w:i/>
          <w:color w:val="231F20"/>
          <w:spacing w:val="2"/>
        </w:rPr>
        <w:t>l</w:t>
      </w:r>
      <w:r>
        <w:rPr>
          <w:color w:val="231F20"/>
          <w:spacing w:val="1"/>
        </w:rPr>
        <w:t>.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2018)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Al</w:t>
      </w:r>
      <w:r>
        <w:rPr>
          <w:color w:val="231F20"/>
        </w:rPr>
        <w:t>l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variable</w:t>
      </w:r>
      <w:r>
        <w:rPr>
          <w:color w:val="231F20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were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assessed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univariate</w:t>
      </w:r>
      <w:r>
        <w:rPr>
          <w:color w:val="231F20"/>
          <w:spacing w:val="1"/>
        </w:rPr>
        <w:t> </w:t>
      </w:r>
      <w:r>
        <w:rPr>
          <w:color w:val="231F20"/>
        </w:rPr>
        <w:t>level,</w:t>
      </w:r>
      <w:r>
        <w:rPr>
          <w:color w:val="231F20"/>
          <w:spacing w:val="1"/>
        </w:rPr>
        <w:t> </w:t>
      </w:r>
      <w:r>
        <w:rPr>
          <w:color w:val="231F20"/>
        </w:rPr>
        <w:t>variables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47"/>
        </w:rPr>
        <w:t> </w:t>
      </w:r>
      <w:r>
        <w:rPr>
          <w:i/>
          <w:color w:val="231F20"/>
        </w:rPr>
        <w:t>p</w:t>
      </w:r>
      <w:r>
        <w:rPr>
          <w:color w:val="231F20"/>
        </w:rPr>
        <w:t>-value of less than 0.25 or of importance from 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literature</w:t>
      </w:r>
      <w:r>
        <w:rPr>
          <w:color w:val="231F20"/>
          <w:spacing w:val="10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selected</w:t>
      </w:r>
      <w:r>
        <w:rPr>
          <w:color w:val="231F20"/>
          <w:spacing w:val="10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multiple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logistic</w:t>
      </w:r>
      <w:r>
        <w:rPr>
          <w:color w:val="231F20"/>
          <w:spacing w:val="12"/>
        </w:rPr>
        <w:t> </w:t>
      </w:r>
      <w:r>
        <w:rPr>
          <w:color w:val="231F20"/>
        </w:rPr>
        <w:t>regression.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final</w:t>
      </w:r>
      <w:r>
        <w:rPr>
          <w:color w:val="231F20"/>
          <w:spacing w:val="33"/>
        </w:rPr>
        <w:t> </w:t>
      </w:r>
      <w:r>
        <w:rPr>
          <w:color w:val="231F20"/>
        </w:rPr>
        <w:t>model</w:t>
      </w:r>
      <w:r>
        <w:rPr>
          <w:color w:val="231F20"/>
          <w:spacing w:val="34"/>
        </w:rPr>
        <w:t> </w:t>
      </w:r>
      <w:r>
        <w:rPr>
          <w:color w:val="231F20"/>
        </w:rPr>
        <w:t>was</w:t>
      </w:r>
      <w:r>
        <w:rPr>
          <w:color w:val="231F20"/>
          <w:spacing w:val="33"/>
        </w:rPr>
        <w:t> </w:t>
      </w:r>
      <w:r>
        <w:rPr>
          <w:color w:val="231F20"/>
        </w:rPr>
        <w:t>established</w:t>
      </w:r>
      <w:r>
        <w:rPr>
          <w:color w:val="231F20"/>
          <w:spacing w:val="34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 adjusted odds ratio (Adj. OR) was estimated with</w:t>
      </w:r>
      <w:r>
        <w:rPr>
          <w:color w:val="231F20"/>
          <w:spacing w:val="-47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95%</w:t>
      </w:r>
      <w:r>
        <w:rPr>
          <w:color w:val="231F20"/>
          <w:spacing w:val="1"/>
        </w:rPr>
        <w:t> </w:t>
      </w:r>
      <w:r>
        <w:rPr>
          <w:color w:val="231F20"/>
        </w:rPr>
        <w:t>confidence</w:t>
      </w:r>
      <w:r>
        <w:rPr>
          <w:color w:val="231F20"/>
          <w:spacing w:val="1"/>
        </w:rPr>
        <w:t> </w:t>
      </w:r>
      <w:r>
        <w:rPr>
          <w:color w:val="231F20"/>
        </w:rPr>
        <w:t>interval.</w:t>
      </w:r>
      <w:r>
        <w:rPr>
          <w:color w:val="231F20"/>
          <w:spacing w:val="1"/>
        </w:rPr>
        <w:t> </w:t>
      </w:r>
      <w:r>
        <w:rPr>
          <w:color w:val="231F20"/>
        </w:rPr>
        <w:t>Statistical</w:t>
      </w:r>
      <w:r>
        <w:rPr>
          <w:color w:val="231F20"/>
          <w:spacing w:val="1"/>
        </w:rPr>
        <w:t> </w:t>
      </w:r>
      <w:r>
        <w:rPr>
          <w:color w:val="231F20"/>
        </w:rPr>
        <w:t>significance</w:t>
      </w:r>
      <w:r>
        <w:rPr>
          <w:color w:val="231F20"/>
          <w:spacing w:val="-47"/>
        </w:rPr>
        <w:t> </w:t>
      </w:r>
      <w:r>
        <w:rPr>
          <w:color w:val="231F20"/>
        </w:rPr>
        <w:t>was set at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</w:t>
      </w:r>
      <w:r>
        <w:rPr>
          <w:color w:val="231F20"/>
        </w:rPr>
        <w:t>-value &lt;0.05 (two-tailed).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color w:val="231F20"/>
          <w:spacing w:val="-7"/>
        </w:rPr>
        <w:t>Ethics approval</w:t>
      </w:r>
    </w:p>
    <w:p>
      <w:pPr>
        <w:pStyle w:val="BodyText"/>
        <w:spacing w:line="249" w:lineRule="auto" w:before="10"/>
        <w:ind w:left="387" w:right="111" w:firstLine="328"/>
        <w:jc w:val="both"/>
      </w:pPr>
      <w:r>
        <w:rPr>
          <w:color w:val="231F20"/>
        </w:rPr>
        <w:t>Ethics</w:t>
      </w:r>
      <w:r>
        <w:rPr>
          <w:color w:val="231F20"/>
          <w:spacing w:val="1"/>
        </w:rPr>
        <w:t> </w:t>
      </w:r>
      <w:r>
        <w:rPr>
          <w:color w:val="231F20"/>
        </w:rPr>
        <w:t>approval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obtained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Human</w:t>
      </w:r>
      <w:r>
        <w:rPr>
          <w:color w:val="231F20"/>
          <w:spacing w:val="11"/>
        </w:rPr>
        <w:t> </w:t>
      </w:r>
      <w:r>
        <w:rPr>
          <w:color w:val="231F20"/>
        </w:rPr>
        <w:t>Research and Ethics Committee (HREC), Universiti</w:t>
      </w:r>
      <w:r>
        <w:rPr>
          <w:color w:val="231F20"/>
          <w:spacing w:val="1"/>
        </w:rPr>
        <w:t> </w:t>
      </w:r>
      <w:r>
        <w:rPr>
          <w:color w:val="231F20"/>
        </w:rPr>
        <w:t>Sains Malaysia USM/JEPeM/19110810 and Medical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Ethics</w:t>
      </w:r>
      <w:r>
        <w:rPr>
          <w:color w:val="231F20"/>
          <w:spacing w:val="-7"/>
        </w:rPr>
        <w:t> </w:t>
      </w:r>
      <w:r>
        <w:rPr>
          <w:color w:val="231F20"/>
        </w:rPr>
        <w:t>Committee</w:t>
      </w:r>
      <w:r>
        <w:rPr>
          <w:color w:val="231F20"/>
          <w:spacing w:val="-8"/>
        </w:rPr>
        <w:t> </w:t>
      </w:r>
      <w:r>
        <w:rPr>
          <w:color w:val="231F20"/>
        </w:rPr>
        <w:t>(MREC),</w:t>
      </w:r>
      <w:r>
        <w:rPr>
          <w:color w:val="231F20"/>
          <w:spacing w:val="-8"/>
        </w:rPr>
        <w:t> </w:t>
      </w:r>
      <w:r>
        <w:rPr>
          <w:color w:val="231F20"/>
        </w:rPr>
        <w:t>Ministry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Health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Malaysia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(NMRR-19-3288-51819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IIR).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1"/>
      </w:pPr>
      <w:r>
        <w:rPr>
          <w:color w:val="231F20"/>
        </w:rPr>
        <w:t>RESULTS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</w:pPr>
      <w:r>
        <w:rPr>
          <w:color w:val="231F20"/>
        </w:rPr>
        <w:t>Sample characteristics</w:t>
      </w:r>
    </w:p>
    <w:p>
      <w:pPr>
        <w:pStyle w:val="BodyText"/>
        <w:spacing w:line="249" w:lineRule="auto" w:before="10"/>
        <w:ind w:left="387" w:right="110" w:firstLine="328"/>
        <w:jc w:val="both"/>
      </w:pP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sample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248</w:t>
      </w:r>
      <w:r>
        <w:rPr>
          <w:color w:val="231F20"/>
          <w:spacing w:val="23"/>
        </w:rPr>
        <w:t> </w:t>
      </w:r>
      <w:r>
        <w:rPr>
          <w:color w:val="231F20"/>
        </w:rPr>
        <w:t>elderly</w:t>
      </w:r>
      <w:r>
        <w:rPr>
          <w:color w:val="231F20"/>
          <w:spacing w:val="24"/>
        </w:rPr>
        <w:t> </w:t>
      </w:r>
      <w:r>
        <w:rPr>
          <w:color w:val="231F20"/>
        </w:rPr>
        <w:t>from</w:t>
      </w:r>
      <w:r>
        <w:rPr>
          <w:color w:val="231F20"/>
          <w:spacing w:val="23"/>
        </w:rPr>
        <w:t> </w:t>
      </w:r>
      <w:r>
        <w:rPr>
          <w:color w:val="231F20"/>
        </w:rPr>
        <w:t>12</w:t>
      </w:r>
      <w:r>
        <w:rPr>
          <w:color w:val="231F20"/>
          <w:spacing w:val="24"/>
        </w:rPr>
        <w:t> </w:t>
      </w:r>
      <w:r>
        <w:rPr>
          <w:color w:val="231F20"/>
        </w:rPr>
        <w:t>health</w:t>
      </w:r>
      <w:r>
        <w:rPr>
          <w:color w:val="231F20"/>
          <w:spacing w:val="23"/>
        </w:rPr>
        <w:t> </w:t>
      </w:r>
      <w:r>
        <w:rPr>
          <w:color w:val="231F20"/>
        </w:rPr>
        <w:t>clinics</w:t>
      </w:r>
      <w:r>
        <w:rPr>
          <w:color w:val="231F20"/>
          <w:spacing w:val="-4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Kelantan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included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study. </w:t>
      </w:r>
      <w:r>
        <w:rPr>
          <w:color w:val="231F20"/>
          <w:spacing w:val="11"/>
        </w:rPr>
        <w:t>About</w:t>
      </w:r>
      <w:r>
        <w:rPr>
          <w:color w:val="231F20"/>
          <w:spacing w:val="12"/>
        </w:rPr>
        <w:t> </w:t>
      </w:r>
      <w:r>
        <w:rPr>
          <w:color w:val="231F20"/>
        </w:rPr>
        <w:t>36.3%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disabled</w:t>
      </w:r>
      <w:r>
        <w:rPr>
          <w:color w:val="231F20"/>
          <w:spacing w:val="10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status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63.7% had no disability in IADL. Table 1 shows the</w:t>
      </w:r>
      <w:r>
        <w:rPr>
          <w:color w:val="231F20"/>
          <w:spacing w:val="1"/>
        </w:rPr>
        <w:t> </w:t>
      </w:r>
      <w:r>
        <w:rPr>
          <w:color w:val="231F20"/>
        </w:rPr>
        <w:t>sociodemographic</w:t>
      </w:r>
      <w:r>
        <w:rPr>
          <w:color w:val="231F20"/>
          <w:spacing w:val="1"/>
        </w:rPr>
        <w:t> </w:t>
      </w:r>
      <w:r>
        <w:rPr>
          <w:color w:val="231F20"/>
        </w:rPr>
        <w:t>characteristics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disabled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non-disabled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attending</w:t>
      </w:r>
      <w:r>
        <w:rPr>
          <w:color w:val="231F20"/>
          <w:spacing w:val="1"/>
        </w:rPr>
        <w:t> </w:t>
      </w:r>
      <w:r>
        <w:rPr>
          <w:color w:val="231F20"/>
        </w:rPr>
        <w:t>health clinics in Kelantan. The mean age was 69.04</w:t>
      </w:r>
      <w:r>
        <w:rPr>
          <w:color w:val="231F20"/>
          <w:spacing w:val="1"/>
        </w:rPr>
        <w:t> </w:t>
      </w:r>
      <w:r>
        <w:rPr>
          <w:color w:val="231F20"/>
        </w:rPr>
        <w:t>(SD 6.43) years. The majority of the patients were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aged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60-69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years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(59.7%).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32.2%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males</w:t>
      </w:r>
      <w:r>
        <w:rPr>
          <w:color w:val="231F20"/>
          <w:spacing w:val="-48"/>
        </w:rPr>
        <w:t> </w:t>
      </w:r>
      <w:r>
        <w:rPr>
          <w:color w:val="231F20"/>
        </w:rPr>
        <w:t>and 67.8% of females in the disabled IADL group.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60%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elderly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married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88%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47"/>
        </w:rPr>
        <w:t> </w:t>
      </w:r>
      <w:r>
        <w:rPr>
          <w:color w:val="231F20"/>
        </w:rPr>
        <w:t>living with others, either with partners, children, or</w:t>
      </w:r>
      <w:r>
        <w:rPr>
          <w:color w:val="231F20"/>
          <w:spacing w:val="1"/>
        </w:rPr>
        <w:t> </w:t>
      </w:r>
      <w:r>
        <w:rPr>
          <w:color w:val="231F20"/>
        </w:rPr>
        <w:t>family members. Almost 80% of elderly attending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-6"/>
        </w:rPr>
        <w:t> </w:t>
      </w:r>
      <w:r>
        <w:rPr>
          <w:color w:val="231F20"/>
        </w:rPr>
        <w:t>clinics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primary</w:t>
      </w:r>
      <w:r>
        <w:rPr>
          <w:color w:val="231F20"/>
          <w:spacing w:val="-6"/>
        </w:rPr>
        <w:t> </w:t>
      </w:r>
      <w:r>
        <w:rPr>
          <w:color w:val="231F20"/>
        </w:rPr>
        <w:t>education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63.7% had an individual income </w:t>
      </w:r>
      <w:r>
        <w:rPr>
          <w:color w:val="231F20"/>
          <w:spacing w:val="-1"/>
        </w:rPr>
        <w:t>of &lt;RM1000. Almost</w:t>
      </w:r>
      <w:r>
        <w:rPr>
          <w:color w:val="231F20"/>
          <w:spacing w:val="-48"/>
        </w:rPr>
        <w:t> </w:t>
      </w:r>
      <w:r>
        <w:rPr>
          <w:color w:val="231F20"/>
        </w:rPr>
        <w:t>88%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chronic</w:t>
      </w:r>
      <w:r>
        <w:rPr>
          <w:color w:val="231F20"/>
          <w:spacing w:val="1"/>
        </w:rPr>
        <w:t> </w:t>
      </w:r>
      <w:r>
        <w:rPr>
          <w:color w:val="231F20"/>
        </w:rPr>
        <w:t>disease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disabled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status.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reported fair and poor self-rated health status, 73.3%</w:t>
      </w:r>
      <w:r>
        <w:rPr>
          <w:color w:val="231F20"/>
          <w:spacing w:val="1"/>
        </w:rPr>
        <w:t> </w:t>
      </w:r>
      <w:r>
        <w:rPr>
          <w:color w:val="231F20"/>
        </w:rPr>
        <w:t>of them had disabled IADL status. Only 9.3% had</w:t>
      </w:r>
      <w:r>
        <w:rPr>
          <w:color w:val="231F20"/>
          <w:spacing w:val="1"/>
        </w:rPr>
        <w:t> </w:t>
      </w:r>
      <w:r>
        <w:rPr>
          <w:color w:val="231F20"/>
        </w:rPr>
        <w:t>impaired cognitive function and 8.5% had depressive</w:t>
      </w:r>
      <w:r>
        <w:rPr>
          <w:color w:val="231F20"/>
          <w:spacing w:val="-47"/>
        </w:rPr>
        <w:t> </w:t>
      </w:r>
      <w:r>
        <w:rPr>
          <w:color w:val="231F20"/>
        </w:rPr>
        <w:t>symptoms.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low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social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support,</w:t>
      </w:r>
      <w:r>
        <w:rPr>
          <w:color w:val="231F20"/>
          <w:spacing w:val="10"/>
        </w:rPr>
        <w:t> </w:t>
      </w:r>
      <w:r>
        <w:rPr>
          <w:color w:val="231F20"/>
        </w:rPr>
        <w:t>half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disability.</w:t>
      </w:r>
      <w:r>
        <w:rPr>
          <w:color w:val="231F20"/>
          <w:spacing w:val="12"/>
        </w:rPr>
        <w:t> </w:t>
      </w:r>
      <w:r>
        <w:rPr>
          <w:color w:val="231F20"/>
        </w:rPr>
        <w:t>Approximately 89% of the elderly were non-smokers</w:t>
      </w:r>
      <w:r>
        <w:rPr>
          <w:color w:val="231F20"/>
          <w:spacing w:val="-4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9.7%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physically</w:t>
      </w:r>
      <w:r>
        <w:rPr>
          <w:color w:val="231F20"/>
          <w:spacing w:val="1"/>
        </w:rPr>
        <w:t> </w:t>
      </w:r>
      <w:r>
        <w:rPr>
          <w:color w:val="231F20"/>
        </w:rPr>
        <w:t>active.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>
          <w:color w:val="231F20"/>
          <w:spacing w:val="-2"/>
        </w:rPr>
        <w:t>Factors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associated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IADL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disability</w:t>
      </w:r>
    </w:p>
    <w:p>
      <w:pPr>
        <w:pStyle w:val="BodyText"/>
        <w:spacing w:line="249" w:lineRule="auto" w:before="11"/>
        <w:ind w:left="387" w:right="111" w:firstLine="328"/>
        <w:jc w:val="both"/>
      </w:pPr>
      <w:r>
        <w:rPr>
          <w:color w:val="231F20"/>
        </w:rPr>
        <w:t>Simple</w:t>
      </w:r>
      <w:r>
        <w:rPr>
          <w:color w:val="231F20"/>
          <w:spacing w:val="1"/>
        </w:rPr>
        <w:t> </w:t>
      </w:r>
      <w:r>
        <w:rPr>
          <w:color w:val="231F20"/>
        </w:rPr>
        <w:t>logistic</w:t>
      </w:r>
      <w:r>
        <w:rPr>
          <w:color w:val="231F20"/>
          <w:spacing w:val="1"/>
        </w:rPr>
        <w:t> </w:t>
      </w:r>
      <w:r>
        <w:rPr>
          <w:color w:val="231F20"/>
        </w:rPr>
        <w:t>regression</w:t>
      </w:r>
      <w:r>
        <w:rPr>
          <w:color w:val="231F20"/>
          <w:spacing w:val="1"/>
        </w:rPr>
        <w:t> </w:t>
      </w:r>
      <w:r>
        <w:rPr>
          <w:color w:val="231F20"/>
        </w:rPr>
        <w:t>showed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socio-</w:t>
      </w:r>
      <w:r>
        <w:rPr>
          <w:color w:val="231F20"/>
          <w:spacing w:val="1"/>
        </w:rPr>
        <w:t> </w:t>
      </w:r>
      <w:r>
        <w:rPr>
          <w:color w:val="231F20"/>
        </w:rPr>
        <w:t>demographic and health-related factors as significant</w:t>
      </w:r>
      <w:r>
        <w:rPr>
          <w:color w:val="231F20"/>
          <w:spacing w:val="1"/>
        </w:rPr>
        <w:t> </w:t>
      </w:r>
      <w:r>
        <w:rPr>
          <w:color w:val="231F20"/>
        </w:rPr>
        <w:t>factors with all the p-values less than 0.25 except for</w:t>
      </w:r>
      <w:r>
        <w:rPr>
          <w:color w:val="231F20"/>
          <w:spacing w:val="1"/>
        </w:rPr>
        <w:t> </w:t>
      </w:r>
      <w:r>
        <w:rPr>
          <w:color w:val="231F20"/>
        </w:rPr>
        <w:t>the number of chronic diseases and alcohol intake.</w:t>
      </w:r>
      <w:r>
        <w:rPr>
          <w:color w:val="231F20"/>
          <w:spacing w:val="1"/>
        </w:rPr>
        <w:t> </w:t>
      </w:r>
      <w:r>
        <w:rPr>
          <w:color w:val="231F20"/>
        </w:rPr>
        <w:t>Both factors were not significant, therefore was not</w:t>
      </w:r>
      <w:r>
        <w:rPr>
          <w:color w:val="231F20"/>
          <w:spacing w:val="1"/>
        </w:rPr>
        <w:t> </w:t>
      </w:r>
      <w:r>
        <w:rPr>
          <w:color w:val="231F20"/>
        </w:rPr>
        <w:t>included in the multiple logistic regression analysis.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final</w:t>
      </w:r>
      <w:r>
        <w:rPr>
          <w:color w:val="231F20"/>
          <w:spacing w:val="50"/>
        </w:rPr>
        <w:t> </w:t>
      </w:r>
      <w:r>
        <w:rPr>
          <w:color w:val="231F20"/>
        </w:rPr>
        <w:t>multiple</w:t>
      </w:r>
      <w:r>
        <w:rPr>
          <w:color w:val="231F20"/>
          <w:spacing w:val="50"/>
        </w:rPr>
        <w:t> </w:t>
      </w:r>
      <w:r>
        <w:rPr>
          <w:color w:val="231F20"/>
        </w:rPr>
        <w:t>logistic</w:t>
      </w:r>
      <w:r>
        <w:rPr>
          <w:color w:val="231F20"/>
          <w:spacing w:val="50"/>
        </w:rPr>
        <w:t> </w:t>
      </w:r>
      <w:r>
        <w:rPr>
          <w:color w:val="231F20"/>
        </w:rPr>
        <w:t>regression</w:t>
      </w:r>
      <w:r>
        <w:rPr>
          <w:color w:val="231F20"/>
          <w:spacing w:val="50"/>
        </w:rPr>
        <w:t> </w:t>
      </w:r>
      <w:r>
        <w:rPr>
          <w:color w:val="231F20"/>
        </w:rPr>
        <w:t>model,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group,</w:t>
      </w:r>
      <w:r>
        <w:rPr>
          <w:color w:val="231F20"/>
          <w:spacing w:val="1"/>
        </w:rPr>
        <w:t> </w:t>
      </w:r>
      <w:r>
        <w:rPr>
          <w:color w:val="231F20"/>
        </w:rPr>
        <w:t>marital</w:t>
      </w:r>
      <w:r>
        <w:rPr>
          <w:color w:val="231F20"/>
          <w:spacing w:val="1"/>
        </w:rPr>
        <w:t> </w:t>
      </w:r>
      <w:r>
        <w:rPr>
          <w:color w:val="231F20"/>
        </w:rPr>
        <w:t>status,</w:t>
      </w:r>
      <w:r>
        <w:rPr>
          <w:color w:val="231F20"/>
          <w:spacing w:val="1"/>
        </w:rPr>
        <w:t> </w:t>
      </w:r>
      <w:r>
        <w:rPr>
          <w:color w:val="231F20"/>
        </w:rPr>
        <w:t>educational</w:t>
      </w:r>
      <w:r>
        <w:rPr>
          <w:color w:val="231F20"/>
          <w:spacing w:val="1"/>
        </w:rPr>
        <w:t> </w:t>
      </w:r>
      <w:r>
        <w:rPr>
          <w:color w:val="231F20"/>
        </w:rPr>
        <w:t>level,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1"/>
        </w:rPr>
        <w:t> </w:t>
      </w:r>
      <w:r>
        <w:rPr>
          <w:color w:val="231F20"/>
        </w:rPr>
        <w:t>monthly</w:t>
      </w:r>
      <w:r>
        <w:rPr>
          <w:color w:val="231F20"/>
          <w:spacing w:val="1"/>
        </w:rPr>
        <w:t> </w:t>
      </w:r>
      <w:r>
        <w:rPr>
          <w:color w:val="231F20"/>
        </w:rPr>
        <w:t>income,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self-rated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status remained </w:t>
      </w:r>
      <w:r>
        <w:rPr>
          <w:color w:val="231F20"/>
          <w:spacing w:val="10"/>
        </w:rPr>
        <w:t>statistically significant; </w:t>
      </w:r>
      <w:r>
        <w:rPr>
          <w:color w:val="231F20"/>
          <w:spacing w:val="11"/>
        </w:rPr>
        <w:t>after</w:t>
      </w:r>
      <w:r>
        <w:rPr>
          <w:color w:val="231F20"/>
          <w:spacing w:val="12"/>
        </w:rPr>
        <w:t> </w:t>
      </w:r>
      <w:r>
        <w:rPr>
          <w:color w:val="231F20"/>
        </w:rPr>
        <w:t>adjusting for other factors. Table 2 shows the results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univariate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multivariate</w:t>
      </w:r>
      <w:r>
        <w:rPr>
          <w:color w:val="231F20"/>
          <w:spacing w:val="1"/>
        </w:rPr>
        <w:t> </w:t>
      </w:r>
      <w:r>
        <w:rPr>
          <w:color w:val="231F20"/>
        </w:rPr>
        <w:t>logistic</w:t>
      </w:r>
      <w:r>
        <w:rPr>
          <w:color w:val="231F20"/>
          <w:spacing w:val="1"/>
        </w:rPr>
        <w:t> </w:t>
      </w:r>
      <w:r>
        <w:rPr>
          <w:color w:val="231F20"/>
        </w:rPr>
        <w:t>regression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factors</w:t>
      </w:r>
      <w:r>
        <w:rPr>
          <w:color w:val="231F20"/>
          <w:spacing w:val="8"/>
        </w:rPr>
        <w:t> </w:t>
      </w:r>
      <w:r>
        <w:rPr>
          <w:color w:val="231F20"/>
        </w:rPr>
        <w:t>associated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</w:rPr>
        <w:t>IADL</w:t>
      </w:r>
      <w:r>
        <w:rPr>
          <w:color w:val="231F20"/>
          <w:spacing w:val="8"/>
        </w:rPr>
        <w:t> </w:t>
      </w:r>
      <w:r>
        <w:rPr>
          <w:color w:val="231F20"/>
        </w:rPr>
        <w:t>disability.</w:t>
      </w:r>
    </w:p>
    <w:p>
      <w:pPr>
        <w:pStyle w:val="BodyText"/>
        <w:spacing w:line="249" w:lineRule="auto" w:before="10"/>
        <w:ind w:left="387" w:right="117" w:firstLine="328"/>
        <w:jc w:val="both"/>
      </w:pPr>
      <w:r>
        <w:rPr>
          <w:color w:val="231F20"/>
        </w:rPr>
        <w:t>Elderly aged 70 years old and above had 3.52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odds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having</w:t>
      </w:r>
      <w:r>
        <w:rPr>
          <w:color w:val="231F20"/>
          <w:spacing w:val="18"/>
        </w:rPr>
        <w:t> </w:t>
      </w:r>
      <w:r>
        <w:rPr>
          <w:color w:val="231F20"/>
        </w:rPr>
        <w:t>IADL</w:t>
      </w:r>
      <w:r>
        <w:rPr>
          <w:color w:val="231F20"/>
          <w:spacing w:val="17"/>
        </w:rPr>
        <w:t> </w:t>
      </w:r>
      <w:r>
        <w:rPr>
          <w:color w:val="231F20"/>
        </w:rPr>
        <w:t>disability</w:t>
      </w:r>
      <w:r>
        <w:rPr>
          <w:color w:val="231F20"/>
          <w:spacing w:val="18"/>
        </w:rPr>
        <w:t> </w:t>
      </w:r>
      <w:r>
        <w:rPr>
          <w:color w:val="231F20"/>
        </w:rPr>
        <w:t>compared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(Adj.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3.52;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95%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CI: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1.85,</w:t>
      </w:r>
      <w:r>
        <w:rPr>
          <w:color w:val="231F20"/>
          <w:spacing w:val="-48"/>
        </w:rPr>
        <w:t> </w:t>
      </w:r>
      <w:r>
        <w:rPr>
          <w:color w:val="231F20"/>
        </w:rPr>
        <w:t>6.69,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</w:t>
      </w:r>
      <w:r>
        <w:rPr>
          <w:color w:val="231F20"/>
        </w:rPr>
        <w:t>-value&lt;0.001).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unmarried</w:t>
      </w:r>
      <w:r>
        <w:rPr>
          <w:color w:val="231F20"/>
          <w:spacing w:val="1"/>
        </w:rPr>
        <w:t> </w:t>
      </w:r>
      <w:r>
        <w:rPr>
          <w:color w:val="231F20"/>
        </w:rPr>
        <w:t>showed 2.37 times the odds of having disabled IADL</w:t>
      </w:r>
      <w:r>
        <w:rPr>
          <w:color w:val="231F20"/>
          <w:spacing w:val="-47"/>
        </w:rPr>
        <w:t> </w:t>
      </w:r>
      <w:r>
        <w:rPr>
          <w:color w:val="231F20"/>
        </w:rPr>
        <w:t>status</w:t>
      </w:r>
      <w:r>
        <w:rPr>
          <w:color w:val="231F20"/>
          <w:spacing w:val="12"/>
        </w:rPr>
        <w:t> </w:t>
      </w:r>
      <w:r>
        <w:rPr>
          <w:color w:val="231F20"/>
        </w:rPr>
        <w:t>compared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married</w:t>
      </w:r>
      <w:r>
        <w:rPr>
          <w:color w:val="231F20"/>
          <w:spacing w:val="14"/>
        </w:rPr>
        <w:t> </w:t>
      </w:r>
      <w:r>
        <w:rPr>
          <w:color w:val="231F20"/>
        </w:rPr>
        <w:t>(Adj.</w:t>
      </w:r>
      <w:r>
        <w:rPr>
          <w:color w:val="231F20"/>
          <w:spacing w:val="14"/>
        </w:rPr>
        <w:t> </w:t>
      </w:r>
      <w:r>
        <w:rPr>
          <w:color w:val="231F20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2.37;</w:t>
      </w:r>
      <w:r>
        <w:rPr>
          <w:color w:val="231F20"/>
          <w:spacing w:val="13"/>
        </w:rPr>
        <w:t> </w:t>
      </w:r>
      <w:r>
        <w:rPr>
          <w:color w:val="231F20"/>
        </w:rPr>
        <w:t>95%</w:t>
      </w:r>
      <w:r>
        <w:rPr>
          <w:color w:val="231F20"/>
          <w:spacing w:val="14"/>
        </w:rPr>
        <w:t> </w:t>
      </w:r>
      <w:r>
        <w:rPr>
          <w:color w:val="231F20"/>
        </w:rPr>
        <w:t>CI: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2" w:space="126"/>
            <w:col w:w="4792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95"/>
        <w:ind w:left="104" w:right="394" w:firstLine="0"/>
        <w:jc w:val="left"/>
        <w:rPr>
          <w:rFonts w:ascii="Arial"/>
          <w:sz w:val="16"/>
        </w:rPr>
      </w:pPr>
      <w:r>
        <w:rPr/>
        <w:pict>
          <v:shape style="position:absolute;margin-left:62.209599pt;margin-top:50.641708pt;width:456.4pt;height:593.9pt;mso-position-horizontal-relative:page;mso-position-vertical-relative:paragraph;z-index:15730688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4"/>
                    <w:gridCol w:w="1672"/>
                    <w:gridCol w:w="3090"/>
                    <w:gridCol w:w="1363"/>
                  </w:tblGrid>
                  <w:tr>
                    <w:trPr>
                      <w:trHeight w:val="401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79" w:lineRule="exact" w:before="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Sociodemographic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Characteristics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4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Total,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4453" w:type="dxa"/>
                        <w:gridSpan w:val="2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65" w:lineRule="exact" w:before="0"/>
                          <w:ind w:left="4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(SD)</w:t>
                        </w:r>
                      </w:p>
                      <w:p>
                        <w:pPr>
                          <w:pStyle w:val="TableParagraph"/>
                          <w:tabs>
                            <w:tab w:pos="3339" w:val="left" w:leader="none"/>
                          </w:tabs>
                          <w:spacing w:line="170" w:lineRule="exact" w:before="0"/>
                          <w:ind w:left="20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Disabled</w:t>
                          <w:tab/>
                          <w:t>Non-disabled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004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64" w:lineRule="exact"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13"/>
                            <w:sz w:val="16"/>
                          </w:rPr>
                          <w:t>Age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53" w:type="dxa"/>
                        <w:gridSpan w:val="2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64" w:lineRule="exact" w:before="88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69.04</w:t>
                        </w:r>
                        <w:r>
                          <w:rPr>
                            <w:color w:val="231F20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(6.43)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65" w:lineRule="exact" w:before="0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60-69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65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(59.7)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65" w:lineRule="exact" w:before="0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(35.6)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65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(73.4)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&gt;</w:t>
                        </w:r>
                        <w:r>
                          <w:rPr>
                            <w:color w:val="231F2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(40.3)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(26.6)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(64.4)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Sex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Male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(40.3)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29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(32.2)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(44.9)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Female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(59.7)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(67.8)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(55.1)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 w:before="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Marital</w:t>
                        </w:r>
                        <w:r>
                          <w:rPr>
                            <w:b/>
                            <w:color w:val="231F20"/>
                            <w:spacing w:val="7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Status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Married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149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(60.1)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</w:t>
                        </w:r>
                        <w:r>
                          <w:rPr>
                            <w:color w:val="231F2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(41.1)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(70.9)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Unmarried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(39.9)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2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53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(58.9)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(29.1)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Living  </w:t>
                        </w:r>
                        <w:r>
                          <w:rPr>
                            <w:b/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arrangement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Living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alone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(12.1)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(17.8)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(8.9)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Living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others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(87.9)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(82.2)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(91.1)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b/>
                            <w:color w:val="231F20"/>
                            <w:spacing w:val="6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level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Secondary</w:t>
                        </w:r>
                        <w:r>
                          <w:rPr>
                            <w:color w:val="231F20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above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(46.8)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(22.2)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(60.8)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Primary</w:t>
                        </w:r>
                        <w:r>
                          <w:rPr>
                            <w:color w:val="231F20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5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(32.7)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954" w:right="3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(36.7)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(30.4)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formal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(20.6)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(41.1)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(8.9)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Individual</w:t>
                        </w:r>
                        <w:r>
                          <w:rPr>
                            <w:b/>
                            <w:color w:val="231F20"/>
                            <w:spacing w:val="8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monthly</w:t>
                        </w:r>
                        <w:r>
                          <w:rPr>
                            <w:b/>
                            <w:color w:val="231F20"/>
                            <w:spacing w:val="8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income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&gt;</w:t>
                        </w:r>
                        <w:r>
                          <w:rPr>
                            <w:color w:val="231F20"/>
                            <w:sz w:val="16"/>
                          </w:rPr>
                          <w:t>RM1,000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5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(36.3)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3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(15.6)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76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(48.1)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&lt;RM1,000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(63.7)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(84.4)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(51.9)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b/>
                            <w:color w:val="231F20"/>
                            <w:spacing w:val="7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b/>
                            <w:color w:val="231F20"/>
                            <w:spacing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diseases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6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(2.8)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(1.1)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(3.8)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One</w:t>
                        </w:r>
                        <w:r>
                          <w:rPr>
                            <w:color w:val="231F20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color w:val="231F20"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5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38</w:t>
                        </w:r>
                        <w:r>
                          <w:rPr>
                            <w:color w:val="231F2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(15.3)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947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(1.1)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5" w:right="2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</w:t>
                        </w:r>
                        <w:r>
                          <w:rPr>
                            <w:color w:val="231F2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(17.7)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More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than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one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(81.9)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1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x79</w:t>
                        </w:r>
                        <w:r>
                          <w:rPr>
                            <w:color w:val="231F20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(87.8)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124</w:t>
                        </w:r>
                        <w:r>
                          <w:rPr>
                            <w:color w:val="231F20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(78.5)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b/>
                            <w:color w:val="231F20"/>
                            <w:spacing w:val="8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8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medications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&lt;5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145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(58.5)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(52.2)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(62.0)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&gt;</w:t>
                        </w: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(41.5)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(47.8)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(38.0)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Self-rated   health   status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Good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(42.7)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(26.7)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(51.9)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Fair/Poor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(57.3)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(73.3)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(48.1)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Cognitive  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function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Normal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(ECAQ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&gt;</w:t>
                        </w:r>
                        <w:r>
                          <w:rPr>
                            <w:color w:val="231F20"/>
                            <w:sz w:val="16"/>
                          </w:rPr>
                          <w:t>7)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225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(90.7)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71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(78.9)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(97.5)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Impaired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(ECAQ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5-6)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23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(9.3)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19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(21.1)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(2.5)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 w:before="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Depressive    </w:t>
                        </w:r>
                        <w:r>
                          <w:rPr>
                            <w:b/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symptoms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(91.5)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(86.7)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149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(94.3)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(8.5)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(13.3)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(5.7)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b/>
                            <w:color w:val="231F20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level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High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(66.9)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(48.9)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(77.2)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Low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82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(33.1)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(51.1)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(22.8)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004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71" w:lineRule="exact"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12"/>
                            <w:sz w:val="16"/>
                          </w:rPr>
                          <w:t>Smoking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(88.7)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77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(85.6)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5" w:right="2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(90.5)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5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(11.3)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(14.4)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(9.5)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Alcohol</w:t>
                        </w:r>
                        <w:r>
                          <w:rPr>
                            <w:b/>
                            <w:color w:val="231F20"/>
                            <w:spacing w:val="7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intake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245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(98.8)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(100.0)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155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(98.1)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0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6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(1.2)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(0.0)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(1.9)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004" w:type="dxa"/>
                      </w:tcPr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Physical</w:t>
                        </w:r>
                        <w:r>
                          <w:rPr>
                            <w:b/>
                            <w:color w:val="231F20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activity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(9.7)</w:t>
                        </w:r>
                      </w:p>
                    </w:tc>
                    <w:tc>
                      <w:tcPr>
                        <w:tcW w:w="3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(4.4)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0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(12.7)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4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Inactive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ind w:left="4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224</w:t>
                        </w:r>
                        <w:r>
                          <w:rPr>
                            <w:color w:val="231F20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(90.3)</w:t>
                        </w:r>
                      </w:p>
                    </w:tc>
                    <w:tc>
                      <w:tcPr>
                        <w:tcW w:w="3090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ind w:left="1954" w:right="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86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(95.6)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ind w:left="335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138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(87.3)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Table</w:t>
      </w:r>
      <w:r>
        <w:rPr>
          <w:rFonts w:ascii="Arial"/>
          <w:b/>
          <w:color w:val="231F20"/>
          <w:spacing w:val="1"/>
          <w:sz w:val="16"/>
        </w:rPr>
        <w:t> </w:t>
      </w:r>
      <w:r>
        <w:rPr>
          <w:rFonts w:ascii="Arial"/>
          <w:b/>
          <w:color w:val="231F20"/>
          <w:sz w:val="16"/>
        </w:rPr>
        <w:t>1.</w:t>
      </w:r>
      <w:r>
        <w:rPr>
          <w:rFonts w:ascii="Arial"/>
          <w:b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Sociodemographic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characteristics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elderly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with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disabled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non-disabled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IADL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status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attending</w:t>
      </w:r>
      <w:r>
        <w:rPr>
          <w:rFonts w:ascii="Arial"/>
          <w:color w:val="231F20"/>
          <w:spacing w:val="44"/>
          <w:sz w:val="16"/>
        </w:rPr>
        <w:t> </w:t>
      </w:r>
      <w:r>
        <w:rPr>
          <w:rFonts w:ascii="Arial"/>
          <w:color w:val="231F20"/>
          <w:sz w:val="16"/>
        </w:rPr>
        <w:t>health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clinics</w:t>
      </w:r>
      <w:r>
        <w:rPr>
          <w:rFonts w:ascii="Arial"/>
          <w:color w:val="231F20"/>
          <w:spacing w:val="-42"/>
          <w:sz w:val="16"/>
        </w:rPr>
        <w:t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17"/>
          <w:sz w:val="16"/>
        </w:rPr>
        <w:t> </w:t>
      </w:r>
      <w:r>
        <w:rPr>
          <w:rFonts w:ascii="Arial"/>
          <w:color w:val="231F20"/>
          <w:sz w:val="16"/>
        </w:rPr>
        <w:t>Kelantan</w:t>
      </w:r>
      <w:r>
        <w:rPr>
          <w:rFonts w:ascii="Arial"/>
          <w:color w:val="231F20"/>
          <w:spacing w:val="17"/>
          <w:sz w:val="16"/>
        </w:rPr>
        <w:t> </w:t>
      </w:r>
      <w:r>
        <w:rPr>
          <w:rFonts w:ascii="Arial"/>
          <w:color w:val="231F20"/>
          <w:sz w:val="16"/>
        </w:rPr>
        <w:t>(</w:t>
      </w:r>
      <w:r>
        <w:rPr>
          <w:rFonts w:ascii="Arial"/>
          <w:i/>
          <w:color w:val="231F20"/>
          <w:sz w:val="16"/>
        </w:rPr>
        <w:t>n</w:t>
      </w:r>
      <w:r>
        <w:rPr>
          <w:rFonts w:ascii="Arial"/>
          <w:color w:val="231F20"/>
          <w:sz w:val="16"/>
        </w:rPr>
        <w:t>=248)</w:t>
      </w:r>
    </w:p>
    <w:p>
      <w:pPr>
        <w:pStyle w:val="BodyText"/>
        <w:spacing w:before="10"/>
        <w:rPr>
          <w:rFonts w:ascii="Arial"/>
          <w:sz w:val="25"/>
        </w:rPr>
      </w:pPr>
      <w:r>
        <w:rPr/>
        <w:pict>
          <v:shape style="position:absolute;margin-left:62.209999pt;margin-top:16.084541pt;width:456.4pt;height:.1pt;mso-position-horizontal-relative:page;mso-position-vertical-relative:paragraph;z-index:-15727616;mso-wrap-distance-left:0;mso-wrap-distance-right:0" id="docshape8" coordorigin="1244,322" coordsize="9128,0" path="m1244,322l10372,322e" filled="false" stroked="true" strokeweight=".99pt" strokecolor="#231f20">
            <v:path arrowok="t"/>
            <v:stroke dashstyle="solid"/>
            <w10:wrap type="topAndBottom"/>
          </v:shape>
        </w:pict>
      </w:r>
    </w:p>
    <w:p>
      <w:pPr>
        <w:spacing w:before="57"/>
        <w:ind w:left="0" w:right="1183" w:firstLine="0"/>
        <w:jc w:val="righ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IADL</w:t>
      </w:r>
      <w:r>
        <w:rPr>
          <w:rFonts w:ascii="Arial"/>
          <w:color w:val="231F20"/>
          <w:spacing w:val="7"/>
          <w:sz w:val="16"/>
        </w:rPr>
        <w:t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7"/>
          <w:sz w:val="16"/>
        </w:rPr>
        <w:t> </w:t>
      </w:r>
      <w:r>
        <w:rPr>
          <w:rFonts w:ascii="Arial"/>
          <w:i/>
          <w:color w:val="231F20"/>
          <w:sz w:val="16"/>
        </w:rPr>
        <w:t>n</w:t>
      </w:r>
      <w:r>
        <w:rPr>
          <w:rFonts w:ascii="Arial"/>
          <w:i/>
          <w:color w:val="231F20"/>
          <w:spacing w:val="7"/>
          <w:sz w:val="16"/>
        </w:rPr>
        <w:t> </w:t>
      </w:r>
      <w:r>
        <w:rPr>
          <w:rFonts w:ascii="Arial"/>
          <w:color w:val="231F20"/>
          <w:sz w:val="16"/>
        </w:rPr>
        <w:t>(%)</w:t>
      </w:r>
    </w:p>
    <w:p>
      <w:pPr>
        <w:pStyle w:val="BodyText"/>
        <w:spacing w:before="3"/>
        <w:rPr>
          <w:rFonts w:ascii="Arial"/>
          <w:sz w:val="4"/>
        </w:rPr>
      </w:pPr>
      <w:r>
        <w:rPr/>
        <w:pict>
          <v:shape style="position:absolute;margin-left:391.01001pt;margin-top:3.649805pt;width:127.6pt;height:.1pt;mso-position-horizontal-relative:page;mso-position-vertical-relative:paragraph;z-index:-15727104;mso-wrap-distance-left:0;mso-wrap-distance-right:0" id="docshape9" coordorigin="7820,73" coordsize="2552,0" path="m7820,73l10372,73e" filled="false" stroked="true" strokeweight=".51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4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line="249" w:lineRule="auto" w:before="95"/>
        <w:ind w:left="388" w:right="394" w:firstLine="0"/>
        <w:jc w:val="left"/>
        <w:rPr>
          <w:rFonts w:ascii="Arial"/>
          <w:sz w:val="16"/>
        </w:rPr>
      </w:pPr>
      <w:r>
        <w:rPr>
          <w:rFonts w:ascii="Arial"/>
          <w:b/>
          <w:color w:val="231F20"/>
          <w:sz w:val="16"/>
        </w:rPr>
        <w:t>Table</w:t>
      </w:r>
      <w:r>
        <w:rPr>
          <w:rFonts w:ascii="Arial"/>
          <w:b/>
          <w:color w:val="231F20"/>
          <w:spacing w:val="2"/>
          <w:sz w:val="16"/>
        </w:rPr>
        <w:t> </w:t>
      </w:r>
      <w:r>
        <w:rPr>
          <w:rFonts w:ascii="Arial"/>
          <w:b/>
          <w:color w:val="231F20"/>
          <w:sz w:val="16"/>
        </w:rPr>
        <w:t>2.</w:t>
      </w:r>
      <w:r>
        <w:rPr>
          <w:rFonts w:ascii="Arial"/>
          <w:b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Univariate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multivariate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logistic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regression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analysis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factors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associated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with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disabled</w:t>
      </w:r>
      <w:r>
        <w:rPr>
          <w:rFonts w:ascii="Arial"/>
          <w:color w:val="231F20"/>
          <w:spacing w:val="46"/>
          <w:sz w:val="16"/>
        </w:rPr>
        <w:t> </w:t>
      </w:r>
      <w:r>
        <w:rPr>
          <w:rFonts w:ascii="Arial"/>
          <w:color w:val="231F20"/>
          <w:sz w:val="16"/>
        </w:rPr>
        <w:t>IADL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status</w:t>
      </w:r>
      <w:r>
        <w:rPr>
          <w:rFonts w:ascii="Arial"/>
          <w:color w:val="231F20"/>
          <w:spacing w:val="45"/>
          <w:sz w:val="16"/>
        </w:rPr>
        <w:t> </w:t>
      </w:r>
      <w:r>
        <w:rPr>
          <w:rFonts w:ascii="Arial"/>
          <w:color w:val="231F20"/>
          <w:sz w:val="16"/>
        </w:rPr>
        <w:t>among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color w:val="231F20"/>
          <w:sz w:val="16"/>
        </w:rPr>
        <w:t>elderly</w:t>
      </w:r>
      <w:r>
        <w:rPr>
          <w:rFonts w:ascii="Arial"/>
          <w:color w:val="231F20"/>
          <w:spacing w:val="16"/>
          <w:sz w:val="16"/>
        </w:rPr>
        <w:t> </w:t>
      </w:r>
      <w:r>
        <w:rPr>
          <w:rFonts w:ascii="Arial"/>
          <w:color w:val="231F20"/>
          <w:sz w:val="16"/>
        </w:rPr>
        <w:t>attending</w:t>
      </w:r>
      <w:r>
        <w:rPr>
          <w:rFonts w:ascii="Arial"/>
          <w:color w:val="231F20"/>
          <w:spacing w:val="16"/>
          <w:sz w:val="16"/>
        </w:rPr>
        <w:t> </w:t>
      </w:r>
      <w:r>
        <w:rPr>
          <w:rFonts w:ascii="Arial"/>
          <w:color w:val="231F20"/>
          <w:sz w:val="16"/>
        </w:rPr>
        <w:t>health</w:t>
      </w:r>
      <w:r>
        <w:rPr>
          <w:rFonts w:ascii="Arial"/>
          <w:color w:val="231F20"/>
          <w:spacing w:val="17"/>
          <w:sz w:val="16"/>
        </w:rPr>
        <w:t> </w:t>
      </w:r>
      <w:r>
        <w:rPr>
          <w:rFonts w:ascii="Arial"/>
          <w:color w:val="231F20"/>
          <w:sz w:val="16"/>
        </w:rPr>
        <w:t>clinics</w:t>
      </w:r>
      <w:r>
        <w:rPr>
          <w:rFonts w:ascii="Arial"/>
          <w:color w:val="231F20"/>
          <w:spacing w:val="16"/>
          <w:sz w:val="16"/>
        </w:rPr>
        <w:t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17"/>
          <w:sz w:val="16"/>
        </w:rPr>
        <w:t> </w:t>
      </w:r>
      <w:r>
        <w:rPr>
          <w:rFonts w:ascii="Arial"/>
          <w:color w:val="231F20"/>
          <w:sz w:val="16"/>
        </w:rPr>
        <w:t>Kelantan</w:t>
      </w:r>
      <w:r>
        <w:rPr>
          <w:rFonts w:ascii="Arial"/>
          <w:color w:val="231F20"/>
          <w:spacing w:val="16"/>
          <w:sz w:val="16"/>
        </w:rPr>
        <w:t> </w:t>
      </w:r>
      <w:r>
        <w:rPr>
          <w:rFonts w:ascii="Arial"/>
          <w:color w:val="231F20"/>
          <w:sz w:val="16"/>
        </w:rPr>
        <w:t>(</w:t>
      </w:r>
      <w:r>
        <w:rPr>
          <w:rFonts w:ascii="Arial"/>
          <w:i/>
          <w:color w:val="231F20"/>
          <w:sz w:val="16"/>
        </w:rPr>
        <w:t>n</w:t>
      </w:r>
      <w:r>
        <w:rPr>
          <w:rFonts w:ascii="Arial"/>
          <w:color w:val="231F20"/>
          <w:sz w:val="16"/>
        </w:rPr>
        <w:t>=248)</w:t>
      </w:r>
    </w:p>
    <w:p>
      <w:pPr>
        <w:pStyle w:val="BodyText"/>
        <w:spacing w:before="7"/>
        <w:rPr>
          <w:rFonts w:ascii="Arial"/>
          <w:sz w:val="19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1357"/>
        <w:gridCol w:w="1786"/>
        <w:gridCol w:w="863"/>
        <w:gridCol w:w="1999"/>
        <w:gridCol w:w="753"/>
      </w:tblGrid>
      <w:tr>
        <w:trPr>
          <w:trHeight w:val="307" w:hRule="atLeast"/>
        </w:trPr>
        <w:tc>
          <w:tcPr>
            <w:tcW w:w="2368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231F20"/>
                <w:sz w:val="16"/>
              </w:rPr>
              <w:t>Variables</w:t>
            </w:r>
          </w:p>
        </w:tc>
        <w:tc>
          <w:tcPr>
            <w:tcW w:w="1357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406" w:right="151"/>
              <w:jc w:val="center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n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color w:val="231F20"/>
                <w:sz w:val="16"/>
              </w:rPr>
              <w:t>(%)</w:t>
            </w:r>
          </w:p>
        </w:tc>
        <w:tc>
          <w:tcPr>
            <w:tcW w:w="1786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right="16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Crude OR*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(95%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CI)</w:t>
            </w:r>
          </w:p>
        </w:tc>
        <w:tc>
          <w:tcPr>
            <w:tcW w:w="863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161" w:right="137"/>
              <w:jc w:val="center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p</w:t>
            </w:r>
            <w:r>
              <w:rPr>
                <w:color w:val="231F20"/>
                <w:sz w:val="16"/>
              </w:rPr>
              <w:t>-value</w:t>
            </w:r>
          </w:p>
        </w:tc>
        <w:tc>
          <w:tcPr>
            <w:tcW w:w="1999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OR†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(95%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CI)</w:t>
            </w:r>
          </w:p>
        </w:tc>
        <w:tc>
          <w:tcPr>
            <w:tcW w:w="753" w:type="dxa"/>
            <w:tcBorders>
              <w:top w:val="single" w:sz="8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15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p</w:t>
            </w:r>
            <w:r>
              <w:rPr>
                <w:color w:val="231F20"/>
                <w:sz w:val="16"/>
              </w:rPr>
              <w:t>-Value</w:t>
            </w:r>
          </w:p>
        </w:tc>
      </w:tr>
      <w:tr>
        <w:trPr>
          <w:trHeight w:val="279" w:hRule="atLeast"/>
        </w:trPr>
        <w:tc>
          <w:tcPr>
            <w:tcW w:w="2368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171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pacing w:val="13"/>
                <w:sz w:val="16"/>
              </w:rPr>
              <w:t>Age</w:t>
            </w:r>
          </w:p>
        </w:tc>
        <w:tc>
          <w:tcPr>
            <w:tcW w:w="1357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60-69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32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(35.6)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171" w:lineRule="exact"/>
              <w:ind w:righ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&gt;</w:t>
            </w:r>
            <w:r>
              <w:rPr>
                <w:color w:val="231F20"/>
                <w:sz w:val="16"/>
              </w:rPr>
              <w:t>70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42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(26.6)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5.01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(2.87,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8.74)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3.52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(1.85,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6.69)</w:t>
            </w: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Sex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29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(32.2)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61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(67.8)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1.72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(0.99,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2.95)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0.051</w:t>
            </w:r>
          </w:p>
        </w:tc>
      </w:tr>
      <w:tr>
        <w:trPr>
          <w:trHeight w:val="471" w:hRule="atLeast"/>
        </w:trPr>
        <w:tc>
          <w:tcPr>
            <w:tcW w:w="2368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Marital</w:t>
            </w:r>
            <w:r>
              <w:rPr>
                <w:b/>
                <w:color w:val="231F20"/>
                <w:spacing w:val="7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Status</w:t>
            </w:r>
          </w:p>
          <w:p>
            <w:pPr>
              <w:pStyle w:val="TableParagraph"/>
              <w:spacing w:line="171" w:lineRule="exact" w:before="8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Married</w:t>
            </w:r>
          </w:p>
        </w:tc>
        <w:tc>
          <w:tcPr>
            <w:tcW w:w="135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406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(41.1)</w:t>
            </w:r>
          </w:p>
        </w:tc>
        <w:tc>
          <w:tcPr>
            <w:tcW w:w="178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righ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Unmarried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8" w:right="1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53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(58.9)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3.49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(2.03,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5.99)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2.37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(1.25,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4.49)</w:t>
            </w: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0.008</w:t>
            </w: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Living  </w:t>
            </w:r>
            <w:r>
              <w:rPr>
                <w:b/>
                <w:color w:val="231F20"/>
                <w:spacing w:val="4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arrangement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Living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alone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(17.8)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Living</w:t>
            </w:r>
            <w:r>
              <w:rPr>
                <w:color w:val="231F20"/>
                <w:spacing w:val="42"/>
                <w:sz w:val="16"/>
              </w:rPr>
              <w:t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others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74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(82.2)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0.45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(0.21,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0.97)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0.042</w:t>
            </w:r>
          </w:p>
        </w:tc>
      </w:tr>
      <w:tr>
        <w:trPr>
          <w:trHeight w:val="471" w:hRule="atLeast"/>
        </w:trPr>
        <w:tc>
          <w:tcPr>
            <w:tcW w:w="2368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Education</w:t>
            </w:r>
            <w:r>
              <w:rPr>
                <w:b/>
                <w:color w:val="231F20"/>
                <w:spacing w:val="6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level</w:t>
            </w:r>
          </w:p>
          <w:p>
            <w:pPr>
              <w:pStyle w:val="TableParagraph"/>
              <w:spacing w:line="171" w:lineRule="exact" w:before="8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Secondary</w:t>
            </w:r>
            <w:r>
              <w:rPr>
                <w:color w:val="231F20"/>
                <w:spacing w:val="3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37"/>
                <w:sz w:val="16"/>
              </w:rPr>
              <w:t> </w:t>
            </w:r>
            <w:r>
              <w:rPr>
                <w:color w:val="231F20"/>
                <w:sz w:val="16"/>
              </w:rPr>
              <w:t>above</w:t>
            </w:r>
          </w:p>
        </w:tc>
        <w:tc>
          <w:tcPr>
            <w:tcW w:w="135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405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(22.2)</w:t>
            </w:r>
          </w:p>
        </w:tc>
        <w:tc>
          <w:tcPr>
            <w:tcW w:w="178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righ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Primary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education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8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33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(36.7)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3.30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(1.72,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6.35)</w:t>
            </w:r>
          </w:p>
        </w:tc>
        <w:tc>
          <w:tcPr>
            <w:tcW w:w="863" w:type="dxa"/>
          </w:tcPr>
          <w:p>
            <w:pPr>
              <w:pStyle w:val="TableParagraph"/>
              <w:spacing w:line="171" w:lineRule="exact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</w:tcPr>
          <w:p>
            <w:pPr>
              <w:pStyle w:val="TableParagraph"/>
              <w:spacing w:line="171" w:lineRule="exact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1.67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(0.79,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3.49)</w:t>
            </w:r>
          </w:p>
        </w:tc>
        <w:tc>
          <w:tcPr>
            <w:tcW w:w="753" w:type="dxa"/>
          </w:tcPr>
          <w:p>
            <w:pPr>
              <w:pStyle w:val="TableParagraph"/>
              <w:spacing w:line="171" w:lineRule="exact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0.174</w:t>
            </w: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formal</w:t>
            </w:r>
            <w:r>
              <w:rPr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education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8" w:right="14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(41.1)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12.69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(5.81,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27.71)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4.03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(1.64,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9.88)</w:t>
            </w: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0.002</w:t>
            </w:r>
          </w:p>
        </w:tc>
      </w:tr>
      <w:tr>
        <w:trPr>
          <w:trHeight w:val="471" w:hRule="atLeast"/>
        </w:trPr>
        <w:tc>
          <w:tcPr>
            <w:tcW w:w="2368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Individual</w:t>
            </w:r>
            <w:r>
              <w:rPr>
                <w:b/>
                <w:color w:val="231F20"/>
                <w:spacing w:val="8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monthly</w:t>
            </w:r>
            <w:r>
              <w:rPr>
                <w:b/>
                <w:color w:val="231F20"/>
                <w:spacing w:val="8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income</w:t>
            </w:r>
          </w:p>
          <w:p>
            <w:pPr>
              <w:pStyle w:val="TableParagraph"/>
              <w:spacing w:line="171" w:lineRule="exact" w:before="8"/>
              <w:ind w:left="169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&gt;</w:t>
            </w:r>
            <w:r>
              <w:rPr>
                <w:color w:val="231F20"/>
                <w:sz w:val="16"/>
              </w:rPr>
              <w:t>RM1,000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(15.6)</w:t>
            </w:r>
          </w:p>
        </w:tc>
        <w:tc>
          <w:tcPr>
            <w:tcW w:w="178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righ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&lt;RM1,000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76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(84.4)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5.03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(2.63,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9.64)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2.37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(1.11,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5.07)</w:t>
            </w: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0.026</w:t>
            </w:r>
          </w:p>
        </w:tc>
      </w:tr>
      <w:tr>
        <w:trPr>
          <w:trHeight w:val="272" w:hRule="atLeast"/>
        </w:trPr>
        <w:tc>
          <w:tcPr>
            <w:tcW w:w="9126" w:type="dxa"/>
            <w:gridSpan w:val="6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Number</w:t>
            </w:r>
            <w:r>
              <w:rPr>
                <w:b/>
                <w:color w:val="231F20"/>
                <w:spacing w:val="7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7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chronic</w:t>
            </w:r>
            <w:r>
              <w:rPr>
                <w:b/>
                <w:color w:val="231F20"/>
                <w:spacing w:val="7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diseases</w:t>
            </w: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(1.1)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One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chronic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disease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1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(11.1)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right="22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2.14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(0.23,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20.06)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line="171" w:lineRule="exact"/>
              <w:ind w:left="232"/>
              <w:rPr>
                <w:sz w:val="16"/>
              </w:rPr>
            </w:pPr>
            <w:r>
              <w:rPr>
                <w:color w:val="231F20"/>
                <w:sz w:val="16"/>
              </w:rPr>
              <w:t>0.504</w:t>
            </w: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one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8" w:right="14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79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(87.8)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3.82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(0.45,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32.35)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231F20"/>
                <w:sz w:val="16"/>
              </w:rPr>
              <w:t>0.218</w:t>
            </w: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Number</w:t>
            </w:r>
            <w:r>
              <w:rPr>
                <w:b/>
                <w:color w:val="231F20"/>
                <w:spacing w:val="8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8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medications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&lt;5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47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(52.2)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&gt;</w:t>
            </w: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43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(47.8)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1.49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(0.89,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2.52)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231F20"/>
                <w:sz w:val="16"/>
              </w:rPr>
              <w:t>0.133</w:t>
            </w:r>
          </w:p>
        </w:tc>
      </w:tr>
      <w:tr>
        <w:trPr>
          <w:trHeight w:val="471" w:hRule="atLeast"/>
        </w:trPr>
        <w:tc>
          <w:tcPr>
            <w:tcW w:w="2368" w:type="dxa"/>
          </w:tcPr>
          <w:p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Self-rated   health   status</w:t>
            </w:r>
          </w:p>
          <w:p>
            <w:pPr>
              <w:pStyle w:val="TableParagraph"/>
              <w:spacing w:line="171" w:lineRule="exact" w:before="8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Good</w:t>
            </w:r>
          </w:p>
        </w:tc>
        <w:tc>
          <w:tcPr>
            <w:tcW w:w="135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(26.7)</w:t>
            </w:r>
          </w:p>
        </w:tc>
        <w:tc>
          <w:tcPr>
            <w:tcW w:w="178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171" w:lineRule="exact" w:before="0"/>
              <w:ind w:right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Fair/Poor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8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66</w:t>
            </w:r>
            <w:r>
              <w:rPr>
                <w:color w:val="231F20"/>
                <w:spacing w:val="25"/>
                <w:sz w:val="16"/>
              </w:rPr>
              <w:t> </w:t>
            </w:r>
            <w:r>
              <w:rPr>
                <w:color w:val="231F20"/>
                <w:sz w:val="16"/>
              </w:rPr>
              <w:t>(73.3)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2.97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(1.69,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5.20)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25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2.53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(1.31,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4.89)</w:t>
            </w: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0.006</w:t>
            </w:r>
          </w:p>
        </w:tc>
      </w:tr>
      <w:tr>
        <w:trPr>
          <w:trHeight w:val="279" w:hRule="atLeast"/>
        </w:trPr>
        <w:tc>
          <w:tcPr>
            <w:tcW w:w="2368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171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Cognitive  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function</w:t>
            </w:r>
          </w:p>
        </w:tc>
        <w:tc>
          <w:tcPr>
            <w:tcW w:w="1357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Normal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(ECAQ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&gt;</w:t>
            </w:r>
            <w:r>
              <w:rPr>
                <w:color w:val="231F20"/>
                <w:sz w:val="16"/>
              </w:rPr>
              <w:t>7)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71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(78.9)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Impaired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(ECAQ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5-6)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1" w:lineRule="exact"/>
              <w:ind w:left="408" w:right="14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(21.1)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1" w:lineRule="exact"/>
              <w:ind w:right="17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10.30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(3.38,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31.39)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81" w:lineRule="exact"/>
              <w:ind w:left="161" w:right="1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2368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171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Depressive    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symptoms</w:t>
            </w:r>
          </w:p>
        </w:tc>
        <w:tc>
          <w:tcPr>
            <w:tcW w:w="1357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78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(86.7)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(13.3)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2.55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(1.03,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6.31)</w:t>
            </w:r>
          </w:p>
        </w:tc>
        <w:tc>
          <w:tcPr>
            <w:tcW w:w="863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1" w:right="1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0.043</w:t>
            </w:r>
          </w:p>
        </w:tc>
        <w:tc>
          <w:tcPr>
            <w:tcW w:w="199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support</w:t>
            </w:r>
            <w:r>
              <w:rPr>
                <w:b/>
                <w:color w:val="231F20"/>
                <w:spacing w:val="6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level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High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44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(48.9)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pacing w:val="12"/>
                <w:sz w:val="16"/>
              </w:rPr>
              <w:t>Low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46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(51.1)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3.54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(2.03,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6.18)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&lt;0.001</w:t>
            </w:r>
          </w:p>
        </w:tc>
      </w:tr>
      <w:tr>
        <w:trPr>
          <w:trHeight w:val="279" w:hRule="atLeast"/>
        </w:trPr>
        <w:tc>
          <w:tcPr>
            <w:tcW w:w="2368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171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pacing w:val="12"/>
                <w:sz w:val="16"/>
              </w:rPr>
              <w:t>Smoking</w:t>
            </w:r>
          </w:p>
        </w:tc>
        <w:tc>
          <w:tcPr>
            <w:tcW w:w="1357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231F2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2368" w:type="dxa"/>
          </w:tcPr>
          <w:p>
            <w:pPr>
              <w:pStyle w:val="TableParagraph"/>
              <w:spacing w:line="171" w:lineRule="exact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  <w:tc>
          <w:tcPr>
            <w:tcW w:w="1357" w:type="dxa"/>
          </w:tcPr>
          <w:p>
            <w:pPr>
              <w:pStyle w:val="TableParagraph"/>
              <w:spacing w:line="171" w:lineRule="exact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77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(85.6)</w:t>
            </w:r>
          </w:p>
        </w:tc>
        <w:tc>
          <w:tcPr>
            <w:tcW w:w="1786" w:type="dxa"/>
          </w:tcPr>
          <w:p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7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(14.4)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1.61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(0.73,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3.56)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231F20"/>
                <w:sz w:val="16"/>
              </w:rPr>
              <w:t>0.239</w:t>
            </w: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Alcohol</w:t>
            </w:r>
            <w:r>
              <w:rPr>
                <w:b/>
                <w:color w:val="231F20"/>
                <w:spacing w:val="7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intake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90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(100.0)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68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  <w:tc>
          <w:tcPr>
            <w:tcW w:w="1357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406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(0.0)</w:t>
            </w:r>
          </w:p>
        </w:tc>
        <w:tc>
          <w:tcPr>
            <w:tcW w:w="1786" w:type="dxa"/>
            <w:tcBorders>
              <w:bottom w:val="single" w:sz="6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0.00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(0.00,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0.00)</w:t>
            </w:r>
          </w:p>
        </w:tc>
        <w:tc>
          <w:tcPr>
            <w:tcW w:w="3615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231F20"/>
                <w:sz w:val="16"/>
              </w:rPr>
              <w:t>0.999</w:t>
            </w:r>
          </w:p>
        </w:tc>
      </w:tr>
      <w:tr>
        <w:trPr>
          <w:trHeight w:val="272" w:hRule="atLeast"/>
        </w:trPr>
        <w:tc>
          <w:tcPr>
            <w:tcW w:w="2368" w:type="dxa"/>
          </w:tcPr>
          <w:p>
            <w:pPr>
              <w:pStyle w:val="TableParagraph"/>
              <w:spacing w:line="164" w:lineRule="exact" w:before="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Physical</w:t>
            </w:r>
            <w:r>
              <w:rPr>
                <w:b/>
                <w:color w:val="231F20"/>
                <w:spacing w:val="5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activity</w:t>
            </w:r>
          </w:p>
        </w:tc>
        <w:tc>
          <w:tcPr>
            <w:tcW w:w="135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8" w:type="dxa"/>
          </w:tcPr>
          <w:p>
            <w:pPr>
              <w:pStyle w:val="TableParagraph"/>
              <w:spacing w:line="165" w:lineRule="exact" w:before="0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Active</w:t>
            </w:r>
          </w:p>
        </w:tc>
        <w:tc>
          <w:tcPr>
            <w:tcW w:w="1357" w:type="dxa"/>
          </w:tcPr>
          <w:p>
            <w:pPr>
              <w:pStyle w:val="TableParagraph"/>
              <w:spacing w:line="165" w:lineRule="exact" w:before="0"/>
              <w:ind w:left="408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(4.4)</w:t>
            </w:r>
          </w:p>
        </w:tc>
        <w:tc>
          <w:tcPr>
            <w:tcW w:w="1786" w:type="dxa"/>
          </w:tcPr>
          <w:p>
            <w:pPr>
              <w:pStyle w:val="TableParagraph"/>
              <w:spacing w:line="165" w:lineRule="exact" w:before="0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368" w:type="dxa"/>
            <w:tcBorders>
              <w:bottom w:val="single" w:sz="8" w:space="0" w:color="231F20"/>
            </w:tcBorders>
          </w:tcPr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Inactive</w:t>
            </w:r>
          </w:p>
        </w:tc>
        <w:tc>
          <w:tcPr>
            <w:tcW w:w="1357" w:type="dxa"/>
            <w:tcBorders>
              <w:bottom w:val="single" w:sz="8" w:space="0" w:color="231F20"/>
            </w:tcBorders>
          </w:tcPr>
          <w:p>
            <w:pPr>
              <w:pStyle w:val="TableParagraph"/>
              <w:ind w:left="405" w:right="15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86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(95.6)</w:t>
            </w:r>
          </w:p>
        </w:tc>
        <w:tc>
          <w:tcPr>
            <w:tcW w:w="1786" w:type="dxa"/>
            <w:tcBorders>
              <w:bottom w:val="single" w:sz="8" w:space="0" w:color="231F20"/>
            </w:tcBorders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3.12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(1.03,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9.42)</w:t>
            </w:r>
          </w:p>
        </w:tc>
        <w:tc>
          <w:tcPr>
            <w:tcW w:w="3615" w:type="dxa"/>
            <w:gridSpan w:val="3"/>
            <w:tcBorders>
              <w:bottom w:val="single" w:sz="8" w:space="0" w:color="231F20"/>
            </w:tcBorders>
          </w:tcPr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0.044</w:t>
            </w:r>
          </w:p>
        </w:tc>
      </w:tr>
    </w:tbl>
    <w:p>
      <w:pPr>
        <w:pStyle w:val="BodyText"/>
        <w:spacing w:before="1"/>
        <w:rPr>
          <w:rFonts w:ascii="Arial"/>
          <w:sz w:val="14"/>
        </w:rPr>
      </w:pPr>
    </w:p>
    <w:p>
      <w:pPr>
        <w:spacing w:before="0"/>
        <w:ind w:left="388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*</w:t>
      </w:r>
      <w:r>
        <w:rPr>
          <w:rFonts w:ascii="Arial"/>
          <w:color w:val="231F20"/>
          <w:spacing w:val="26"/>
          <w:sz w:val="14"/>
        </w:rPr>
        <w:t> </w:t>
      </w:r>
      <w:r>
        <w:rPr>
          <w:rFonts w:ascii="Arial"/>
          <w:color w:val="231F20"/>
          <w:sz w:val="14"/>
        </w:rPr>
        <w:t>Crude</w:t>
      </w:r>
      <w:r>
        <w:rPr>
          <w:rFonts w:ascii="Arial"/>
          <w:color w:val="231F20"/>
          <w:spacing w:val="26"/>
          <w:sz w:val="14"/>
        </w:rPr>
        <w:t> </w:t>
      </w:r>
      <w:r>
        <w:rPr>
          <w:rFonts w:ascii="Arial"/>
          <w:color w:val="231F20"/>
          <w:sz w:val="14"/>
        </w:rPr>
        <w:t>OR</w:t>
      </w:r>
      <w:r>
        <w:rPr>
          <w:rFonts w:ascii="Arial"/>
          <w:color w:val="231F20"/>
          <w:spacing w:val="27"/>
          <w:sz w:val="14"/>
        </w:rPr>
        <w:t> </w:t>
      </w:r>
      <w:r>
        <w:rPr>
          <w:rFonts w:ascii="Arial"/>
          <w:color w:val="231F20"/>
          <w:sz w:val="14"/>
        </w:rPr>
        <w:t>using</w:t>
      </w:r>
      <w:r>
        <w:rPr>
          <w:rFonts w:ascii="Arial"/>
          <w:color w:val="231F20"/>
          <w:spacing w:val="26"/>
          <w:sz w:val="14"/>
        </w:rPr>
        <w:t> </w:t>
      </w:r>
      <w:r>
        <w:rPr>
          <w:rFonts w:ascii="Arial"/>
          <w:color w:val="231F20"/>
          <w:sz w:val="14"/>
        </w:rPr>
        <w:t>Univariate</w:t>
      </w:r>
      <w:r>
        <w:rPr>
          <w:rFonts w:ascii="Arial"/>
          <w:color w:val="231F20"/>
          <w:spacing w:val="27"/>
          <w:sz w:val="14"/>
        </w:rPr>
        <w:t> </w:t>
      </w:r>
      <w:r>
        <w:rPr>
          <w:rFonts w:ascii="Arial"/>
          <w:color w:val="231F20"/>
          <w:sz w:val="14"/>
        </w:rPr>
        <w:t>Logistic</w:t>
      </w:r>
      <w:r>
        <w:rPr>
          <w:rFonts w:ascii="Arial"/>
          <w:color w:val="231F20"/>
          <w:spacing w:val="26"/>
          <w:sz w:val="14"/>
        </w:rPr>
        <w:t> </w:t>
      </w:r>
      <w:r>
        <w:rPr>
          <w:rFonts w:ascii="Arial"/>
          <w:color w:val="231F20"/>
          <w:sz w:val="14"/>
        </w:rPr>
        <w:t>Regression</w:t>
      </w:r>
      <w:r>
        <w:rPr>
          <w:rFonts w:ascii="Arial"/>
          <w:color w:val="231F20"/>
          <w:spacing w:val="26"/>
          <w:sz w:val="14"/>
        </w:rPr>
        <w:t> </w:t>
      </w:r>
      <w:r>
        <w:rPr>
          <w:rFonts w:ascii="Arial"/>
          <w:color w:val="231F20"/>
          <w:sz w:val="14"/>
        </w:rPr>
        <w:t>analysis.</w:t>
      </w:r>
    </w:p>
    <w:p>
      <w:pPr>
        <w:spacing w:before="7"/>
        <w:ind w:left="388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†</w:t>
      </w:r>
      <w:r>
        <w:rPr>
          <w:rFonts w:ascii="Arial" w:hAnsi="Arial"/>
          <w:color w:val="231F20"/>
          <w:spacing w:val="10"/>
          <w:sz w:val="14"/>
        </w:rPr>
        <w:t> </w:t>
      </w:r>
      <w:r>
        <w:rPr>
          <w:rFonts w:ascii="Arial" w:hAnsi="Arial"/>
          <w:color w:val="231F20"/>
          <w:sz w:val="14"/>
        </w:rPr>
        <w:t>Adjusted</w:t>
      </w:r>
      <w:r>
        <w:rPr>
          <w:rFonts w:ascii="Arial" w:hAnsi="Arial"/>
          <w:color w:val="231F20"/>
          <w:spacing w:val="28"/>
          <w:sz w:val="14"/>
        </w:rPr>
        <w:t> </w:t>
      </w:r>
      <w:r>
        <w:rPr>
          <w:rFonts w:ascii="Arial" w:hAnsi="Arial"/>
          <w:color w:val="231F20"/>
          <w:sz w:val="14"/>
        </w:rPr>
        <w:t>OR</w:t>
      </w:r>
      <w:r>
        <w:rPr>
          <w:rFonts w:ascii="Arial" w:hAnsi="Arial"/>
          <w:color w:val="231F20"/>
          <w:spacing w:val="27"/>
          <w:sz w:val="14"/>
        </w:rPr>
        <w:t> </w:t>
      </w:r>
      <w:r>
        <w:rPr>
          <w:rFonts w:ascii="Arial" w:hAnsi="Arial"/>
          <w:color w:val="231F20"/>
          <w:sz w:val="14"/>
        </w:rPr>
        <w:t>using</w:t>
      </w:r>
      <w:r>
        <w:rPr>
          <w:rFonts w:ascii="Arial" w:hAnsi="Arial"/>
          <w:color w:val="231F20"/>
          <w:spacing w:val="27"/>
          <w:sz w:val="14"/>
        </w:rPr>
        <w:t> </w:t>
      </w:r>
      <w:r>
        <w:rPr>
          <w:rFonts w:ascii="Arial" w:hAnsi="Arial"/>
          <w:color w:val="231F20"/>
          <w:sz w:val="14"/>
        </w:rPr>
        <w:t>Multivariate</w:t>
      </w:r>
      <w:r>
        <w:rPr>
          <w:rFonts w:ascii="Arial" w:hAnsi="Arial"/>
          <w:color w:val="231F20"/>
          <w:spacing w:val="27"/>
          <w:sz w:val="14"/>
        </w:rPr>
        <w:t> </w:t>
      </w:r>
      <w:r>
        <w:rPr>
          <w:rFonts w:ascii="Arial" w:hAnsi="Arial"/>
          <w:color w:val="231F20"/>
          <w:sz w:val="14"/>
        </w:rPr>
        <w:t>Logistic</w:t>
      </w:r>
      <w:r>
        <w:rPr>
          <w:rFonts w:ascii="Arial" w:hAnsi="Arial"/>
          <w:color w:val="231F20"/>
          <w:spacing w:val="28"/>
          <w:sz w:val="14"/>
        </w:rPr>
        <w:t> </w:t>
      </w:r>
      <w:r>
        <w:rPr>
          <w:rFonts w:ascii="Arial" w:hAnsi="Arial"/>
          <w:color w:val="231F20"/>
          <w:sz w:val="14"/>
        </w:rPr>
        <w:t>Regression</w:t>
      </w:r>
      <w:r>
        <w:rPr>
          <w:rFonts w:ascii="Arial" w:hAnsi="Arial"/>
          <w:color w:val="231F20"/>
          <w:spacing w:val="27"/>
          <w:sz w:val="14"/>
        </w:rPr>
        <w:t> </w:t>
      </w:r>
      <w:r>
        <w:rPr>
          <w:rFonts w:ascii="Arial" w:hAnsi="Arial"/>
          <w:color w:val="231F20"/>
          <w:sz w:val="14"/>
        </w:rPr>
        <w:t>analysis.</w:t>
      </w:r>
    </w:p>
    <w:p>
      <w:pPr>
        <w:spacing w:after="0"/>
        <w:jc w:val="left"/>
        <w:rPr>
          <w:rFonts w:ascii="Arial" w:hAnsi="Arial"/>
          <w:sz w:val="14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104" w:right="39"/>
        <w:jc w:val="both"/>
      </w:pPr>
      <w:r>
        <w:rPr>
          <w:color w:val="231F20"/>
          <w:spacing w:val="-1"/>
        </w:rPr>
        <w:t>1.25,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4.49,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1"/>
        </w:rPr>
        <w:t>p</w:t>
      </w:r>
      <w:r>
        <w:rPr>
          <w:color w:val="231F20"/>
          <w:spacing w:val="-1"/>
        </w:rPr>
        <w:t>-value=0.008).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elderly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formal</w:t>
      </w:r>
      <w:r>
        <w:rPr>
          <w:color w:val="231F20"/>
          <w:spacing w:val="-48"/>
        </w:rPr>
        <w:t> </w:t>
      </w:r>
      <w:r>
        <w:rPr>
          <w:color w:val="231F20"/>
        </w:rPr>
        <w:t>education were 4 times more likely to have disabled</w:t>
      </w:r>
      <w:r>
        <w:rPr>
          <w:color w:val="231F20"/>
          <w:spacing w:val="1"/>
        </w:rPr>
        <w:t> </w:t>
      </w:r>
      <w:r>
        <w:rPr>
          <w:color w:val="231F20"/>
        </w:rPr>
        <w:t>IADL status compared to those with secondary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-11"/>
        </w:rPr>
        <w:t> </w:t>
      </w:r>
      <w:r>
        <w:rPr>
          <w:color w:val="231F20"/>
        </w:rPr>
        <w:t>status</w:t>
      </w:r>
      <w:r>
        <w:rPr>
          <w:color w:val="231F20"/>
          <w:spacing w:val="-11"/>
        </w:rPr>
        <w:t> </w:t>
      </w:r>
      <w:r>
        <w:rPr>
          <w:color w:val="231F20"/>
        </w:rPr>
        <w:t>(Adj.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4.03;</w:t>
      </w:r>
      <w:r>
        <w:rPr>
          <w:color w:val="231F20"/>
          <w:spacing w:val="-11"/>
        </w:rPr>
        <w:t> </w:t>
      </w:r>
      <w:r>
        <w:rPr>
          <w:color w:val="231F20"/>
        </w:rPr>
        <w:t>95%</w:t>
      </w:r>
      <w:r>
        <w:rPr>
          <w:color w:val="231F20"/>
          <w:spacing w:val="-10"/>
        </w:rPr>
        <w:t> </w:t>
      </w:r>
      <w:r>
        <w:rPr>
          <w:color w:val="231F20"/>
        </w:rPr>
        <w:t>CI:</w:t>
      </w:r>
      <w:r>
        <w:rPr>
          <w:color w:val="231F20"/>
          <w:spacing w:val="-11"/>
        </w:rPr>
        <w:t> </w:t>
      </w:r>
      <w:r>
        <w:rPr>
          <w:color w:val="231F20"/>
        </w:rPr>
        <w:t>1.64,</w:t>
      </w:r>
      <w:r>
        <w:rPr>
          <w:color w:val="231F20"/>
          <w:spacing w:val="-48"/>
        </w:rPr>
        <w:t> </w:t>
      </w:r>
      <w:r>
        <w:rPr>
          <w:color w:val="231F20"/>
        </w:rPr>
        <w:t>9.88,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</w:t>
      </w:r>
      <w:r>
        <w:rPr>
          <w:color w:val="231F20"/>
        </w:rPr>
        <w:t>-value=0.002).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1"/>
        </w:rPr>
        <w:t> </w:t>
      </w:r>
      <w:r>
        <w:rPr>
          <w:color w:val="231F20"/>
        </w:rPr>
        <w:t>monthly</w:t>
      </w:r>
      <w:r>
        <w:rPr>
          <w:color w:val="231F20"/>
          <w:spacing w:val="-5"/>
        </w:rPr>
        <w:t> </w:t>
      </w:r>
      <w:r>
        <w:rPr>
          <w:color w:val="231F20"/>
        </w:rPr>
        <w:t>income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&lt;RM1000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2.37</w:t>
      </w:r>
      <w:r>
        <w:rPr>
          <w:color w:val="231F20"/>
          <w:spacing w:val="-4"/>
        </w:rPr>
        <w:t> </w:t>
      </w:r>
      <w:r>
        <w:rPr>
          <w:color w:val="231F20"/>
        </w:rPr>
        <w:t>odd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7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compared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person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individual monthly income of &gt;RM1000 (Adj. OR</w:t>
      </w:r>
      <w:r>
        <w:rPr>
          <w:color w:val="231F20"/>
          <w:spacing w:val="1"/>
        </w:rPr>
        <w:t> </w:t>
      </w:r>
      <w:r>
        <w:rPr>
          <w:color w:val="231F20"/>
        </w:rPr>
        <w:t>2.37;</w:t>
      </w:r>
      <w:r>
        <w:rPr>
          <w:color w:val="231F20"/>
          <w:spacing w:val="41"/>
        </w:rPr>
        <w:t> </w:t>
      </w:r>
      <w:r>
        <w:rPr>
          <w:color w:val="231F20"/>
        </w:rPr>
        <w:t>95%</w:t>
      </w:r>
      <w:r>
        <w:rPr>
          <w:color w:val="231F20"/>
          <w:spacing w:val="41"/>
        </w:rPr>
        <w:t> </w:t>
      </w:r>
      <w:r>
        <w:rPr>
          <w:color w:val="231F20"/>
        </w:rPr>
        <w:t>CI:</w:t>
      </w:r>
      <w:r>
        <w:rPr>
          <w:color w:val="231F20"/>
          <w:spacing w:val="42"/>
        </w:rPr>
        <w:t> </w:t>
      </w:r>
      <w:r>
        <w:rPr>
          <w:color w:val="231F20"/>
        </w:rPr>
        <w:t>1.11,</w:t>
      </w:r>
      <w:r>
        <w:rPr>
          <w:color w:val="231F20"/>
          <w:spacing w:val="41"/>
        </w:rPr>
        <w:t> </w:t>
      </w:r>
      <w:r>
        <w:rPr>
          <w:color w:val="231F20"/>
        </w:rPr>
        <w:t>5.07,</w:t>
      </w:r>
      <w:r>
        <w:rPr>
          <w:color w:val="231F20"/>
          <w:spacing w:val="43"/>
        </w:rPr>
        <w:t> </w:t>
      </w:r>
      <w:r>
        <w:rPr>
          <w:i/>
          <w:color w:val="231F20"/>
        </w:rPr>
        <w:t>p</w:t>
      </w:r>
      <w:r>
        <w:rPr>
          <w:color w:val="231F20"/>
        </w:rPr>
        <w:t>-value=0.026).</w:t>
      </w:r>
      <w:r>
        <w:rPr>
          <w:color w:val="231F20"/>
          <w:spacing w:val="42"/>
        </w:rPr>
        <w:t> </w:t>
      </w:r>
      <w:r>
        <w:rPr>
          <w:color w:val="231F20"/>
        </w:rPr>
        <w:t>Elderly</w:t>
      </w:r>
    </w:p>
    <w:p>
      <w:pPr>
        <w:pStyle w:val="BodyText"/>
        <w:spacing w:line="249" w:lineRule="auto" w:before="7"/>
        <w:ind w:left="104" w:right="46"/>
        <w:jc w:val="both"/>
      </w:pPr>
      <w:r>
        <w:rPr>
          <w:color w:val="231F20"/>
        </w:rPr>
        <w:t>who reported fair/poor self-rated health status was</w:t>
      </w:r>
      <w:r>
        <w:rPr>
          <w:color w:val="231F20"/>
          <w:spacing w:val="1"/>
        </w:rPr>
        <w:t> </w:t>
      </w:r>
      <w:r>
        <w:rPr>
          <w:color w:val="231F20"/>
        </w:rPr>
        <w:t>two and a half time more likely to be IADL disabled</w:t>
      </w:r>
      <w:r>
        <w:rPr>
          <w:color w:val="231F20"/>
          <w:spacing w:val="1"/>
        </w:rPr>
        <w:t> </w:t>
      </w:r>
      <w:r>
        <w:rPr>
          <w:color w:val="231F20"/>
        </w:rPr>
        <w:t>compared to those who reported good health status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(Adj.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2.53;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95%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CI: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1.31,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4.89,</w:t>
      </w:r>
      <w:r>
        <w:rPr>
          <w:color w:val="231F20"/>
          <w:spacing w:val="-7"/>
        </w:rPr>
        <w:t> </w:t>
      </w:r>
      <w:r>
        <w:rPr>
          <w:i/>
          <w:color w:val="231F20"/>
          <w:spacing w:val="-3"/>
        </w:rPr>
        <w:t>p</w:t>
      </w:r>
      <w:r>
        <w:rPr>
          <w:color w:val="231F20"/>
          <w:spacing w:val="-3"/>
        </w:rPr>
        <w:t>-value=0.006).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1"/>
        <w:ind w:left="104"/>
      </w:pPr>
      <w:r>
        <w:rPr>
          <w:color w:val="231F20"/>
        </w:rPr>
        <w:t>DISCUSSION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04" w:right="38"/>
        <w:jc w:val="both"/>
      </w:pPr>
      <w:r>
        <w:rPr>
          <w:color w:val="231F20"/>
        </w:rPr>
        <w:t>Our study showed about one-third of the elderly had</w:t>
      </w:r>
      <w:r>
        <w:rPr>
          <w:color w:val="231F20"/>
          <w:spacing w:val="1"/>
        </w:rPr>
        <w:t> </w:t>
      </w:r>
      <w:r>
        <w:rPr>
          <w:color w:val="231F20"/>
        </w:rPr>
        <w:t>disabled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status.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Malaysia,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Health and Morbidity Survey Elderly 2018 reported</w:t>
      </w:r>
      <w:r>
        <w:rPr>
          <w:color w:val="231F20"/>
          <w:spacing w:val="1"/>
        </w:rPr>
        <w:t> </w:t>
      </w:r>
      <w:r>
        <w:rPr>
          <w:color w:val="231F20"/>
        </w:rPr>
        <w:t>42.9% of our elderly were IADL dependent (Institute</w:t>
      </w:r>
      <w:r>
        <w:rPr>
          <w:color w:val="231F20"/>
          <w:spacing w:val="-47"/>
        </w:rPr>
        <w:t> </w:t>
      </w:r>
      <w:r>
        <w:rPr>
          <w:color w:val="231F20"/>
        </w:rPr>
        <w:t>for Public Health, 2018), much higher than what was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study.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studies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were</w:t>
      </w:r>
      <w:r>
        <w:rPr>
          <w:color w:val="231F20"/>
          <w:spacing w:val="12"/>
        </w:rPr>
        <w:t> </w:t>
      </w:r>
      <w:r>
        <w:rPr>
          <w:color w:val="231F20"/>
        </w:rPr>
        <w:t>comparable to findings from this study, the reported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32.7%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(Ismail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1"/>
        </w:rPr>
        <w:t>et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al</w:t>
      </w:r>
      <w:r>
        <w:rPr>
          <w:color w:val="231F20"/>
          <w:spacing w:val="-1"/>
        </w:rPr>
        <w:t>.,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2016)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33.5</w:t>
      </w:r>
      <w:r>
        <w:rPr>
          <w:color w:val="231F20"/>
          <w:spacing w:val="-12"/>
        </w:rPr>
        <w:t> </w:t>
      </w:r>
      <w:r>
        <w:rPr>
          <w:color w:val="231F20"/>
        </w:rPr>
        <w:t>%</w:t>
      </w:r>
      <w:r>
        <w:rPr>
          <w:color w:val="231F20"/>
          <w:spacing w:val="-11"/>
        </w:rPr>
        <w:t> </w:t>
      </w:r>
      <w:r>
        <w:rPr>
          <w:color w:val="231F20"/>
        </w:rPr>
        <w:t>(Loh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et al</w:t>
      </w:r>
      <w:r>
        <w:rPr>
          <w:color w:val="231F20"/>
        </w:rPr>
        <w:t>., 2005). However, the findings from this study</w:t>
      </w:r>
      <w:r>
        <w:rPr>
          <w:color w:val="231F20"/>
          <w:spacing w:val="1"/>
        </w:rPr>
        <w:t> </w:t>
      </w:r>
      <w:r>
        <w:rPr>
          <w:color w:val="231F20"/>
        </w:rPr>
        <w:t>may have been under-estimated as the sampling was</w:t>
      </w:r>
      <w:r>
        <w:rPr>
          <w:color w:val="231F20"/>
          <w:spacing w:val="1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among</w:t>
      </w:r>
      <w:r>
        <w:rPr>
          <w:color w:val="231F20"/>
          <w:spacing w:val="-7"/>
        </w:rPr>
        <w:t> </w:t>
      </w:r>
      <w:r>
        <w:rPr>
          <w:color w:val="231F20"/>
        </w:rPr>
        <w:t>elderly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attended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</w:rPr>
        <w:t>clinics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48"/>
        </w:rPr>
        <w:t> </w:t>
      </w:r>
      <w:r>
        <w:rPr>
          <w:color w:val="231F20"/>
        </w:rPr>
        <w:t>those with IADL disability might be the ones who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1"/>
        </w:rPr>
        <w:t> </w:t>
      </w:r>
      <w:r>
        <w:rPr>
          <w:color w:val="231F20"/>
        </w:rPr>
        <w:t>difficulties</w:t>
      </w:r>
      <w:r>
        <w:rPr>
          <w:color w:val="231F20"/>
          <w:spacing w:val="12"/>
        </w:rPr>
        <w:t> </w:t>
      </w:r>
      <w:r>
        <w:rPr>
          <w:color w:val="231F20"/>
        </w:rPr>
        <w:t>attending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health</w:t>
      </w:r>
      <w:r>
        <w:rPr>
          <w:color w:val="231F20"/>
          <w:spacing w:val="12"/>
        </w:rPr>
        <w:t> </w:t>
      </w:r>
      <w:r>
        <w:rPr>
          <w:color w:val="231F20"/>
        </w:rPr>
        <w:t>services.</w:t>
      </w:r>
    </w:p>
    <w:p>
      <w:pPr>
        <w:pStyle w:val="BodyText"/>
        <w:spacing w:line="240" w:lineRule="exact" w:before="6"/>
        <w:ind w:left="104" w:right="38" w:firstLine="328"/>
        <w:jc w:val="both"/>
      </w:pPr>
      <w:r>
        <w:rPr>
          <w:color w:val="231F20"/>
        </w:rPr>
        <w:t>This study aimed to determine factors 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attending</w:t>
      </w:r>
      <w:r>
        <w:rPr>
          <w:color w:val="231F20"/>
          <w:spacing w:val="-47"/>
        </w:rPr>
        <w:t> </w:t>
      </w:r>
      <w:r>
        <w:rPr>
          <w:color w:val="231F20"/>
        </w:rPr>
        <w:t>health clinics in Kelantan. There was a significant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older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disability.</w:t>
      </w:r>
      <w:r>
        <w:rPr>
          <w:color w:val="231F20"/>
          <w:spacing w:val="1"/>
        </w:rPr>
        <w:t> </w:t>
      </w:r>
      <w:r>
        <w:rPr>
          <w:color w:val="231F20"/>
        </w:rPr>
        <w:t>Aging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natural</w:t>
      </w:r>
      <w:r>
        <w:rPr>
          <w:color w:val="231F20"/>
          <w:spacing w:val="1"/>
        </w:rPr>
        <w:t> </w:t>
      </w:r>
      <w:r>
        <w:rPr>
          <w:color w:val="231F20"/>
        </w:rPr>
        <w:t>process whereby individuals have been exposed to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ill-health</w:t>
      </w:r>
      <w:r>
        <w:rPr>
          <w:color w:val="231F20"/>
          <w:spacing w:val="1"/>
        </w:rPr>
        <w:t> </w:t>
      </w:r>
      <w:r>
        <w:rPr>
          <w:color w:val="231F20"/>
        </w:rPr>
        <w:t>issues-particularly</w:t>
      </w:r>
      <w:r>
        <w:rPr>
          <w:color w:val="231F20"/>
          <w:spacing w:val="1"/>
        </w:rPr>
        <w:t> </w:t>
      </w:r>
      <w:r>
        <w:rPr>
          <w:color w:val="231F20"/>
        </w:rPr>
        <w:t>cancer,</w:t>
      </w:r>
      <w:r>
        <w:rPr>
          <w:color w:val="231F20"/>
          <w:spacing w:val="1"/>
        </w:rPr>
        <w:t> </w:t>
      </w:r>
      <w:r>
        <w:rPr>
          <w:color w:val="231F20"/>
        </w:rPr>
        <w:t>neuro-</w:t>
      </w:r>
      <w:r>
        <w:rPr>
          <w:color w:val="231F20"/>
          <w:spacing w:val="-47"/>
        </w:rPr>
        <w:t> </w:t>
      </w:r>
      <w:r>
        <w:rPr>
          <w:color w:val="231F20"/>
        </w:rPr>
        <w:t>degeneration, and cardiovascular disease, hence lead</w:t>
      </w:r>
      <w:r>
        <w:rPr>
          <w:color w:val="231F20"/>
          <w:spacing w:val="1"/>
        </w:rPr>
        <w:t> </w:t>
      </w:r>
      <w:r>
        <w:rPr>
          <w:color w:val="231F20"/>
        </w:rPr>
        <w:t>to a greater risk of disability (Niccoli &amp; Partridge,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2012)</w:t>
      </w:r>
      <w:r>
        <w:rPr>
          <w:color w:val="231F20"/>
        </w:rPr>
        <w:t>. </w:t>
      </w:r>
      <w:r>
        <w:rPr>
          <w:color w:val="231F20"/>
          <w:spacing w:val="-21"/>
        </w:rPr>
        <w:t> </w:t>
      </w:r>
      <w:r>
        <w:rPr>
          <w:color w:val="231F20"/>
        </w:rPr>
        <w:t>A </w:t>
      </w:r>
      <w:r>
        <w:rPr>
          <w:color w:val="231F20"/>
          <w:spacing w:val="-21"/>
        </w:rPr>
        <w:t> </w:t>
      </w:r>
      <w:r>
        <w:rPr>
          <w:color w:val="231F20"/>
          <w:spacing w:val="2"/>
        </w:rPr>
        <w:t>stud</w:t>
      </w:r>
      <w:r>
        <w:rPr>
          <w:color w:val="231F20"/>
        </w:rPr>
        <w:t>y </w:t>
      </w:r>
      <w:r>
        <w:rPr>
          <w:color w:val="231F20"/>
          <w:spacing w:val="-21"/>
        </w:rPr>
        <w:t> </w:t>
      </w:r>
      <w:r>
        <w:rPr>
          <w:color w:val="231F20"/>
          <w:spacing w:val="2"/>
        </w:rPr>
        <w:t>findin</w:t>
      </w:r>
      <w:r>
        <w:rPr>
          <w:color w:val="231F20"/>
        </w:rPr>
        <w:t>g </w:t>
      </w:r>
      <w:r>
        <w:rPr>
          <w:color w:val="231F20"/>
          <w:spacing w:val="-21"/>
        </w:rPr>
        <w:t> </w:t>
      </w:r>
      <w:r>
        <w:rPr>
          <w:color w:val="231F20"/>
          <w:spacing w:val="2"/>
        </w:rPr>
        <w:t>b</w:t>
      </w:r>
      <w:r>
        <w:rPr>
          <w:color w:val="231F20"/>
        </w:rPr>
        <w:t>y </w:t>
      </w:r>
      <w:r>
        <w:rPr>
          <w:color w:val="231F20"/>
          <w:spacing w:val="-21"/>
        </w:rPr>
        <w:t> </w:t>
      </w:r>
      <w:r>
        <w:rPr>
          <w:color w:val="231F20"/>
          <w:spacing w:val="-84"/>
        </w:rPr>
        <w:t>C</w:t>
      </w:r>
      <w:r>
        <w:rPr>
          <w:color w:val="231F20"/>
          <w:spacing w:val="18"/>
          <w:position w:val="4"/>
        </w:rPr>
        <w:t>´</w:t>
      </w:r>
      <w:r>
        <w:rPr>
          <w:color w:val="231F20"/>
          <w:spacing w:val="2"/>
        </w:rPr>
        <w:t>wirlej-Soza</w:t>
      </w:r>
      <w:r>
        <w:rPr>
          <w:color w:val="231F20"/>
          <w:spacing w:val="-83"/>
        </w:rPr>
        <w:t>n</w:t>
      </w:r>
      <w:r>
        <w:rPr>
          <w:color w:val="231F20"/>
          <w:spacing w:val="18"/>
        </w:rPr>
        <w:t>´</w:t>
      </w:r>
      <w:r>
        <w:rPr>
          <w:color w:val="231F20"/>
          <w:spacing w:val="2"/>
        </w:rPr>
        <w:t>sk</w:t>
      </w:r>
      <w:r>
        <w:rPr>
          <w:color w:val="231F20"/>
        </w:rPr>
        <w:t>a </w:t>
      </w:r>
      <w:r>
        <w:rPr>
          <w:color w:val="231F20"/>
          <w:spacing w:val="-20"/>
        </w:rPr>
        <w:t> </w:t>
      </w:r>
      <w:r>
        <w:rPr>
          <w:i/>
          <w:color w:val="231F20"/>
          <w:spacing w:val="2"/>
        </w:rPr>
        <w:t>e</w:t>
      </w:r>
      <w:r>
        <w:rPr>
          <w:i/>
          <w:color w:val="231F20"/>
        </w:rPr>
        <w:t>t </w:t>
      </w:r>
      <w:r>
        <w:rPr>
          <w:i/>
          <w:color w:val="231F20"/>
          <w:spacing w:val="-21"/>
        </w:rPr>
        <w:t> </w:t>
      </w:r>
      <w:r>
        <w:rPr>
          <w:i/>
          <w:color w:val="231F20"/>
          <w:spacing w:val="2"/>
        </w:rPr>
        <w:t>al</w:t>
      </w:r>
      <w:r>
        <w:rPr>
          <w:color w:val="231F20"/>
        </w:rPr>
        <w:t>. (2018), reported increasing age was poorly related to</w:t>
      </w:r>
      <w:r>
        <w:rPr>
          <w:color w:val="231F20"/>
          <w:spacing w:val="1"/>
        </w:rPr>
        <w:t> </w:t>
      </w:r>
      <w:r>
        <w:rPr>
          <w:color w:val="231F20"/>
        </w:rPr>
        <w:t>the independence in IADL. They found an almost</w:t>
      </w:r>
      <w:r>
        <w:rPr>
          <w:color w:val="231F20"/>
          <w:spacing w:val="1"/>
        </w:rPr>
        <w:t> </w:t>
      </w:r>
      <w:r>
        <w:rPr>
          <w:color w:val="231F20"/>
        </w:rPr>
        <w:t>two-fold increase in experiencing IADL difficulty for</w:t>
      </w:r>
      <w:r>
        <w:rPr>
          <w:color w:val="231F20"/>
          <w:spacing w:val="-47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old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above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when</w:t>
      </w:r>
      <w:r>
        <w:rPr>
          <w:color w:val="231F20"/>
          <w:spacing w:val="11"/>
        </w:rPr>
        <w:t> </w:t>
      </w:r>
      <w:r>
        <w:rPr>
          <w:color w:val="231F20"/>
        </w:rPr>
        <w:t>compared to the younger elderly. Similar to a study</w:t>
      </w:r>
      <w:r>
        <w:rPr>
          <w:color w:val="231F20"/>
          <w:spacing w:val="1"/>
        </w:rPr>
        <w:t> </w:t>
      </w:r>
      <w:r>
        <w:rPr>
          <w:color w:val="231F20"/>
        </w:rPr>
        <w:t>conducted in Mexico which showed older age group</w:t>
      </w:r>
      <w:r>
        <w:rPr>
          <w:color w:val="231F20"/>
          <w:spacing w:val="1"/>
        </w:rPr>
        <w:t> </w:t>
      </w:r>
      <w:r>
        <w:rPr>
          <w:color w:val="231F20"/>
        </w:rPr>
        <w:t>elderly were 3.52 times more likely to have IADL</w:t>
      </w:r>
      <w:r>
        <w:rPr>
          <w:color w:val="231F20"/>
          <w:spacing w:val="1"/>
        </w:rPr>
        <w:t> </w:t>
      </w:r>
      <w:r>
        <w:rPr>
          <w:color w:val="231F20"/>
        </w:rPr>
        <w:t>disabled status as compared to elderly in the younger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3"/>
        </w:rPr>
        <w:t> </w:t>
      </w:r>
      <w:r>
        <w:rPr>
          <w:color w:val="231F20"/>
        </w:rPr>
        <w:t>group.</w:t>
      </w:r>
    </w:p>
    <w:p>
      <w:pPr>
        <w:pStyle w:val="BodyText"/>
        <w:spacing w:line="249" w:lineRule="auto" w:before="5"/>
        <w:ind w:left="104" w:right="42" w:firstLine="328"/>
        <w:jc w:val="both"/>
      </w:pPr>
      <w:r>
        <w:rPr>
          <w:color w:val="231F20"/>
        </w:rPr>
        <w:t>Marital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influence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 among the elderly. Almost 60% of those</w:t>
      </w:r>
      <w:r>
        <w:rPr>
          <w:color w:val="231F20"/>
          <w:spacing w:val="1"/>
        </w:rPr>
        <w:t> </w:t>
      </w:r>
      <w:r>
        <w:rPr>
          <w:color w:val="231F20"/>
        </w:rPr>
        <w:t>with unmarried status had disabled IADL status. The</w:t>
      </w:r>
      <w:r>
        <w:rPr>
          <w:color w:val="231F20"/>
          <w:spacing w:val="1"/>
        </w:rPr>
        <w:t> </w:t>
      </w:r>
      <w:r>
        <w:rPr>
          <w:color w:val="231F20"/>
        </w:rPr>
        <w:t>results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unmarried</w:t>
      </w:r>
      <w:r>
        <w:rPr>
          <w:color w:val="231F20"/>
          <w:spacing w:val="-6"/>
        </w:rPr>
        <w:t> </w:t>
      </w:r>
      <w:r>
        <w:rPr>
          <w:color w:val="231F20"/>
        </w:rPr>
        <w:t>elderly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twice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likely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IADL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disability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compared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8"/>
        </w:rPr>
        <w:t> </w:t>
      </w:r>
      <w:r>
        <w:rPr>
          <w:color w:val="231F20"/>
        </w:rPr>
        <w:t>who were married. Studies conducted in China and</w:t>
      </w:r>
      <w:r>
        <w:rPr>
          <w:color w:val="231F20"/>
          <w:spacing w:val="1"/>
        </w:rPr>
        <w:t> </w:t>
      </w:r>
      <w:r>
        <w:rPr>
          <w:color w:val="231F20"/>
        </w:rPr>
        <w:t>Mexico reported IADL dependency was significantly</w:t>
      </w:r>
      <w:r>
        <w:rPr>
          <w:color w:val="231F20"/>
          <w:spacing w:val="-47"/>
        </w:rPr>
        <w:t> </w:t>
      </w:r>
      <w:r>
        <w:rPr>
          <w:color w:val="231F20"/>
        </w:rPr>
        <w:t>associated with being unmarried or had no partner</w:t>
      </w:r>
      <w:r>
        <w:rPr>
          <w:color w:val="231F20"/>
          <w:spacing w:val="1"/>
        </w:rPr>
        <w:t> </w:t>
      </w:r>
      <w:r>
        <w:rPr>
          <w:color w:val="231F20"/>
        </w:rPr>
        <w:t>(Arias-Merino</w:t>
      </w:r>
      <w:r>
        <w:rPr>
          <w:color w:val="231F20"/>
          <w:spacing w:val="3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3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39"/>
        </w:rPr>
        <w:t> </w:t>
      </w:r>
      <w:r>
        <w:rPr>
          <w:color w:val="231F20"/>
        </w:rPr>
        <w:t>2012;</w:t>
      </w:r>
      <w:r>
        <w:rPr>
          <w:color w:val="231F20"/>
          <w:spacing w:val="38"/>
        </w:rPr>
        <w:t> </w:t>
      </w:r>
      <w:r>
        <w:rPr>
          <w:color w:val="231F20"/>
        </w:rPr>
        <w:t>Liang</w:t>
      </w:r>
      <w:r>
        <w:rPr>
          <w:color w:val="231F20"/>
          <w:spacing w:val="39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3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39"/>
        </w:rPr>
        <w:t> </w:t>
      </w:r>
      <w:r>
        <w:rPr>
          <w:color w:val="231F20"/>
        </w:rPr>
        <w:t>2017).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</w:p>
    <w:p>
      <w:pPr>
        <w:pStyle w:val="BodyText"/>
        <w:spacing w:line="249" w:lineRule="auto" w:before="92"/>
        <w:ind w:left="104" w:right="404"/>
        <w:jc w:val="both"/>
      </w:pPr>
      <w:r>
        <w:rPr/>
        <w:br w:type="column"/>
      </w:r>
      <w:r>
        <w:rPr>
          <w:color w:val="231F20"/>
        </w:rPr>
        <w:t>possible explanation is that being unmarried or single</w:t>
      </w:r>
      <w:r>
        <w:rPr>
          <w:color w:val="231F20"/>
          <w:spacing w:val="-48"/>
        </w:rPr>
        <w:t> </w:t>
      </w:r>
      <w:r>
        <w:rPr>
          <w:color w:val="231F20"/>
        </w:rPr>
        <w:t>is related to poor social and family support, thus lead</w:t>
      </w:r>
      <w:r>
        <w:rPr>
          <w:color w:val="231F20"/>
          <w:spacing w:val="-47"/>
        </w:rPr>
        <w:t> </w:t>
      </w:r>
      <w:r>
        <w:rPr>
          <w:color w:val="231F20"/>
        </w:rPr>
        <w:t>to limitation in performing IADL functions (Feng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0"/>
        </w:rPr>
        <w:t> </w:t>
      </w:r>
      <w:r>
        <w:rPr>
          <w:color w:val="231F20"/>
        </w:rPr>
        <w:t>2013).</w:t>
      </w:r>
    </w:p>
    <w:p>
      <w:pPr>
        <w:pStyle w:val="BodyText"/>
        <w:spacing w:line="249" w:lineRule="auto" w:before="3"/>
        <w:ind w:left="104" w:right="392" w:firstLine="328"/>
        <w:jc w:val="both"/>
      </w:pPr>
      <w:r>
        <w:rPr>
          <w:color w:val="231F20"/>
          <w:spacing w:val="10"/>
        </w:rPr>
        <w:t>Educational</w:t>
      </w:r>
      <w:r>
        <w:rPr>
          <w:color w:val="231F20"/>
          <w:spacing w:val="1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significant</w:t>
      </w:r>
      <w:r>
        <w:rPr>
          <w:color w:val="231F20"/>
          <w:spacing w:val="11"/>
        </w:rPr>
        <w:t> factor</w:t>
      </w:r>
      <w:r>
        <w:rPr>
          <w:color w:val="231F20"/>
          <w:spacing w:val="12"/>
        </w:rPr>
        <w:t> </w:t>
      </w:r>
      <w:r>
        <w:rPr>
          <w:color w:val="231F20"/>
        </w:rPr>
        <w:t>influencing IADL disability after adjusting for other</w:t>
      </w:r>
      <w:r>
        <w:rPr>
          <w:color w:val="231F20"/>
          <w:spacing w:val="1"/>
        </w:rPr>
        <w:t> </w:t>
      </w:r>
      <w:r>
        <w:rPr>
          <w:color w:val="231F20"/>
        </w:rPr>
        <w:t>variables. The result was supported by few studies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50"/>
        </w:rPr>
        <w:t> </w:t>
      </w:r>
      <w:r>
        <w:rPr>
          <w:color w:val="231F20"/>
        </w:rPr>
        <w:t>also</w:t>
      </w:r>
      <w:r>
        <w:rPr>
          <w:color w:val="231F20"/>
          <w:spacing w:val="50"/>
        </w:rPr>
        <w:t> </w:t>
      </w:r>
      <w:r>
        <w:rPr>
          <w:color w:val="231F20"/>
        </w:rPr>
        <w:t>explained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disabled</w:t>
      </w:r>
      <w:r>
        <w:rPr>
          <w:color w:val="231F20"/>
          <w:spacing w:val="50"/>
        </w:rPr>
        <w:t> </w:t>
      </w:r>
      <w:r>
        <w:rPr>
          <w:color w:val="231F20"/>
        </w:rPr>
        <w:t>IADL</w:t>
      </w:r>
      <w:r>
        <w:rPr>
          <w:color w:val="231F20"/>
          <w:spacing w:val="50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was strongly influenced by the level of educational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(Graciani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2004;</w:t>
      </w:r>
      <w:r>
        <w:rPr>
          <w:color w:val="231F20"/>
          <w:spacing w:val="1"/>
        </w:rPr>
        <w:t> </w:t>
      </w:r>
      <w:r>
        <w:rPr>
          <w:color w:val="231F20"/>
        </w:rPr>
        <w:t>Arias-Merino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47"/>
        </w:rPr>
        <w:t> </w:t>
      </w:r>
      <w:r>
        <w:rPr>
          <w:color w:val="231F20"/>
        </w:rPr>
        <w:t>2012; Palacios-Cena </w:t>
      </w:r>
      <w:r>
        <w:rPr>
          <w:i/>
          <w:color w:val="231F20"/>
        </w:rPr>
        <w:t>et al</w:t>
      </w:r>
      <w:r>
        <w:rPr>
          <w:color w:val="231F20"/>
        </w:rPr>
        <w:t>., 2012). Those who were</w:t>
      </w:r>
      <w:r>
        <w:rPr>
          <w:color w:val="231F20"/>
          <w:spacing w:val="1"/>
        </w:rPr>
        <w:t> </w:t>
      </w:r>
      <w:r>
        <w:rPr>
          <w:color w:val="231F20"/>
        </w:rPr>
        <w:t>illiterate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attain</w:t>
      </w:r>
      <w:r>
        <w:rPr>
          <w:color w:val="231F20"/>
          <w:spacing w:val="-7"/>
        </w:rPr>
        <w:t> </w:t>
      </w:r>
      <w:r>
        <w:rPr>
          <w:color w:val="231F20"/>
        </w:rPr>
        <w:t>formal</w:t>
      </w:r>
      <w:r>
        <w:rPr>
          <w:color w:val="231F20"/>
          <w:spacing w:val="-6"/>
        </w:rPr>
        <w:t> </w:t>
      </w:r>
      <w:r>
        <w:rPr>
          <w:color w:val="231F20"/>
        </w:rPr>
        <w:t>education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48"/>
        </w:rPr>
        <w:t> </w:t>
      </w:r>
      <w:r>
        <w:rPr>
          <w:color w:val="231F20"/>
        </w:rPr>
        <w:t>six times at risk of becoming disabled in IADL status</w:t>
      </w:r>
      <w:r>
        <w:rPr>
          <w:color w:val="231F20"/>
          <w:spacing w:val="-47"/>
        </w:rPr>
        <w:t> </w:t>
      </w:r>
      <w:r>
        <w:rPr>
          <w:color w:val="231F20"/>
        </w:rPr>
        <w:t>as compared to those who had secondary and tertiary</w:t>
      </w:r>
      <w:r>
        <w:rPr>
          <w:color w:val="231F20"/>
          <w:spacing w:val="1"/>
        </w:rPr>
        <w:t> </w:t>
      </w:r>
      <w:r>
        <w:rPr>
          <w:color w:val="231F20"/>
        </w:rPr>
        <w:t>educational status. IADL requires a higher level of</w:t>
      </w:r>
      <w:r>
        <w:rPr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42"/>
        </w:rPr>
        <w:t> </w:t>
      </w:r>
      <w:r>
        <w:rPr>
          <w:color w:val="231F20"/>
        </w:rPr>
        <w:t>function</w:t>
      </w:r>
      <w:r>
        <w:rPr>
          <w:color w:val="231F20"/>
          <w:spacing w:val="42"/>
        </w:rPr>
        <w:t> </w:t>
      </w:r>
      <w:r>
        <w:rPr>
          <w:color w:val="231F20"/>
        </w:rPr>
        <w:t>thus</w:t>
      </w:r>
      <w:r>
        <w:rPr>
          <w:color w:val="231F20"/>
          <w:spacing w:val="43"/>
        </w:rPr>
        <w:t> </w:t>
      </w:r>
      <w:r>
        <w:rPr>
          <w:color w:val="231F20"/>
        </w:rPr>
        <w:t>older</w:t>
      </w:r>
      <w:r>
        <w:rPr>
          <w:color w:val="231F20"/>
          <w:spacing w:val="42"/>
        </w:rPr>
        <w:t> </w:t>
      </w:r>
      <w:r>
        <w:rPr>
          <w:color w:val="231F20"/>
        </w:rPr>
        <w:t>adults</w:t>
      </w:r>
      <w:r>
        <w:rPr>
          <w:color w:val="231F20"/>
          <w:spacing w:val="42"/>
        </w:rPr>
        <w:t> </w:t>
      </w:r>
      <w:r>
        <w:rPr>
          <w:color w:val="231F20"/>
        </w:rPr>
        <w:t>with</w:t>
      </w:r>
      <w:r>
        <w:rPr>
          <w:color w:val="231F20"/>
          <w:spacing w:val="43"/>
        </w:rPr>
        <w:t> </w:t>
      </w:r>
      <w:r>
        <w:rPr>
          <w:color w:val="231F20"/>
        </w:rPr>
        <w:t>illiteracy</w:t>
      </w:r>
      <w:r>
        <w:rPr>
          <w:color w:val="231F20"/>
          <w:spacing w:val="-48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low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educational</w:t>
      </w:r>
      <w:r>
        <w:rPr>
          <w:color w:val="231F20"/>
          <w:spacing w:val="10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usually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problems</w:t>
      </w:r>
      <w:r>
        <w:rPr>
          <w:color w:val="231F20"/>
          <w:spacing w:val="1"/>
        </w:rPr>
        <w:t> </w:t>
      </w:r>
      <w:r>
        <w:rPr>
          <w:color w:val="231F20"/>
        </w:rPr>
        <w:t>managing finance or performing other more complex</w:t>
      </w:r>
      <w:r>
        <w:rPr>
          <w:color w:val="231F20"/>
          <w:spacing w:val="-47"/>
        </w:rPr>
        <w:t> </w:t>
      </w:r>
      <w:r>
        <w:rPr>
          <w:color w:val="231F20"/>
        </w:rPr>
        <w:t>cognitive</w:t>
      </w:r>
      <w:r>
        <w:rPr>
          <w:color w:val="231F20"/>
          <w:spacing w:val="1"/>
        </w:rPr>
        <w:t> </w:t>
      </w:r>
      <w:r>
        <w:rPr>
          <w:color w:val="231F20"/>
        </w:rPr>
        <w:t>functions.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adequate</w:t>
      </w:r>
      <w:r>
        <w:rPr>
          <w:color w:val="231F20"/>
          <w:spacing w:val="50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literacy,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encounter difficulty </w:t>
      </w:r>
      <w:r>
        <w:rPr>
          <w:color w:val="231F20"/>
          <w:spacing w:val="11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managing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medications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finding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dialing phone numbers from a handphone (Park &amp;</w:t>
      </w:r>
      <w:r>
        <w:rPr>
          <w:color w:val="231F20"/>
          <w:spacing w:val="1"/>
        </w:rPr>
        <w:t> </w:t>
      </w:r>
      <w:r>
        <w:rPr>
          <w:color w:val="231F20"/>
        </w:rPr>
        <w:t>Lee, 2017; Carmona-Torres </w:t>
      </w:r>
      <w:r>
        <w:rPr>
          <w:i/>
          <w:color w:val="231F20"/>
        </w:rPr>
        <w:t>et al</w:t>
      </w:r>
      <w:r>
        <w:rPr>
          <w:color w:val="231F20"/>
        </w:rPr>
        <w:t>., 2019). Lacking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formal education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create barriers </w:t>
      </w:r>
      <w:r>
        <w:rPr>
          <w:color w:val="231F20"/>
          <w:spacing w:val="11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communication,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later</w:t>
      </w:r>
      <w:r>
        <w:rPr>
          <w:color w:val="231F20"/>
          <w:spacing w:val="-9"/>
        </w:rPr>
        <w:t> </w:t>
      </w:r>
      <w:r>
        <w:rPr>
          <w:color w:val="231F20"/>
        </w:rPr>
        <w:t>would</w:t>
      </w:r>
      <w:r>
        <w:rPr>
          <w:color w:val="231F20"/>
          <w:spacing w:val="-9"/>
        </w:rPr>
        <w:t> </w:t>
      </w:r>
      <w:r>
        <w:rPr>
          <w:color w:val="231F20"/>
        </w:rPr>
        <w:t>affect</w:t>
      </w:r>
      <w:r>
        <w:rPr>
          <w:color w:val="231F20"/>
          <w:spacing w:val="-9"/>
        </w:rPr>
        <w:t> </w:t>
      </w:r>
      <w:r>
        <w:rPr>
          <w:color w:val="231F20"/>
        </w:rPr>
        <w:t>engagement</w:t>
      </w:r>
      <w:r>
        <w:rPr>
          <w:color w:val="231F20"/>
          <w:spacing w:val="-48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functions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home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community</w:t>
      </w:r>
      <w:r>
        <w:rPr>
          <w:color w:val="231F20"/>
          <w:spacing w:val="1"/>
        </w:rPr>
        <w:t> </w:t>
      </w:r>
      <w:r>
        <w:rPr>
          <w:color w:val="231F20"/>
        </w:rPr>
        <w:t>(Brigola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6"/>
        </w:rPr>
        <w:t> </w:t>
      </w:r>
      <w:r>
        <w:rPr>
          <w:color w:val="231F20"/>
        </w:rPr>
        <w:t>2019).</w:t>
      </w:r>
    </w:p>
    <w:p>
      <w:pPr>
        <w:pStyle w:val="BodyText"/>
        <w:spacing w:before="19"/>
        <w:ind w:left="433"/>
        <w:jc w:val="both"/>
      </w:pPr>
      <w:r>
        <w:rPr>
          <w:color w:val="231F20"/>
        </w:rPr>
        <w:t>Elderly</w:t>
      </w:r>
      <w:r>
        <w:rPr>
          <w:color w:val="231F20"/>
          <w:spacing w:val="45"/>
        </w:rPr>
        <w:t> </w:t>
      </w:r>
      <w:r>
        <w:rPr>
          <w:color w:val="231F20"/>
        </w:rPr>
        <w:t>with</w:t>
      </w:r>
      <w:r>
        <w:rPr>
          <w:color w:val="231F20"/>
          <w:spacing w:val="45"/>
        </w:rPr>
        <w:t> </w:t>
      </w:r>
      <w:r>
        <w:rPr>
          <w:color w:val="231F20"/>
        </w:rPr>
        <w:t>an</w:t>
      </w:r>
      <w:r>
        <w:rPr>
          <w:color w:val="231F20"/>
          <w:spacing w:val="45"/>
        </w:rPr>
        <w:t> </w:t>
      </w:r>
      <w:r>
        <w:rPr>
          <w:color w:val="231F20"/>
        </w:rPr>
        <w:t>individual</w:t>
      </w:r>
      <w:r>
        <w:rPr>
          <w:color w:val="231F20"/>
          <w:spacing w:val="45"/>
        </w:rPr>
        <w:t> </w:t>
      </w:r>
      <w:r>
        <w:rPr>
          <w:color w:val="231F20"/>
        </w:rPr>
        <w:t>monthly</w:t>
      </w:r>
      <w:r>
        <w:rPr>
          <w:color w:val="231F20"/>
          <w:spacing w:val="45"/>
        </w:rPr>
        <w:t> </w:t>
      </w:r>
      <w:r>
        <w:rPr>
          <w:color w:val="231F20"/>
        </w:rPr>
        <w:t>income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</w:p>
    <w:p>
      <w:pPr>
        <w:pStyle w:val="BodyText"/>
        <w:spacing w:line="249" w:lineRule="auto" w:before="10"/>
        <w:ind w:left="104" w:right="392"/>
        <w:jc w:val="both"/>
      </w:pPr>
      <w:r>
        <w:rPr>
          <w:color w:val="231F20"/>
        </w:rPr>
        <w:t>&lt;RM1000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2.37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likely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disabled IADL status compared to the elderly with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income.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particularly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 face a decrease in income in the course of</w:t>
      </w:r>
      <w:r>
        <w:rPr>
          <w:color w:val="231F20"/>
          <w:spacing w:val="1"/>
        </w:rPr>
        <w:t> </w:t>
      </w:r>
      <w:r>
        <w:rPr>
          <w:color w:val="231F20"/>
        </w:rPr>
        <w:t>retirement (Otero </w:t>
      </w:r>
      <w:r>
        <w:rPr>
          <w:i/>
          <w:color w:val="231F20"/>
        </w:rPr>
        <w:t>et al</w:t>
      </w:r>
      <w:r>
        <w:rPr>
          <w:color w:val="231F20"/>
        </w:rPr>
        <w:t>., 2003). Those who live 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financial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insecurity</w:t>
      </w:r>
      <w:r>
        <w:rPr>
          <w:color w:val="231F20"/>
          <w:spacing w:val="10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much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harder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time</w:t>
      </w:r>
      <w:r>
        <w:rPr>
          <w:color w:val="231F20"/>
          <w:spacing w:val="12"/>
        </w:rPr>
        <w:t> </w:t>
      </w:r>
      <w:r>
        <w:rPr>
          <w:color w:val="231F20"/>
        </w:rPr>
        <w:t>assessing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services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47"/>
        </w:rPr>
        <w:t> </w:t>
      </w:r>
      <w:r>
        <w:rPr>
          <w:color w:val="231F20"/>
        </w:rPr>
        <w:t>more fortunate (Woo </w:t>
      </w:r>
      <w:r>
        <w:rPr>
          <w:i/>
          <w:color w:val="231F20"/>
        </w:rPr>
        <w:t>et al</w:t>
      </w:r>
      <w:r>
        <w:rPr>
          <w:color w:val="231F20"/>
        </w:rPr>
        <w:t>., 2000). The elderly with</w:t>
      </w:r>
      <w:r>
        <w:rPr>
          <w:color w:val="231F20"/>
          <w:spacing w:val="1"/>
        </w:rPr>
        <w:t> </w:t>
      </w:r>
      <w:r>
        <w:rPr>
          <w:color w:val="231F20"/>
        </w:rPr>
        <w:t>less</w:t>
      </w:r>
      <w:r>
        <w:rPr>
          <w:color w:val="231F20"/>
          <w:spacing w:val="1"/>
        </w:rPr>
        <w:t> </w:t>
      </w:r>
      <w:r>
        <w:rPr>
          <w:color w:val="231F20"/>
        </w:rPr>
        <w:t>income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means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47"/>
        </w:rPr>
        <w:t> </w:t>
      </w:r>
      <w:r>
        <w:rPr>
          <w:color w:val="231F20"/>
        </w:rPr>
        <w:t>afford</w:t>
      </w:r>
      <w:r>
        <w:rPr>
          <w:color w:val="231F20"/>
          <w:spacing w:val="1"/>
        </w:rPr>
        <w:t> </w:t>
      </w:r>
      <w:r>
        <w:rPr>
          <w:color w:val="231F20"/>
        </w:rPr>
        <w:t>technology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services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overcome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disability. had a higher chance of getting disabled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better</w:t>
      </w:r>
      <w:r>
        <w:rPr>
          <w:color w:val="231F20"/>
          <w:spacing w:val="50"/>
        </w:rPr>
        <w:t> </w:t>
      </w:r>
      <w:r>
        <w:rPr>
          <w:color w:val="231F20"/>
        </w:rPr>
        <w:t>comfortable</w:t>
      </w:r>
      <w:r>
        <w:rPr>
          <w:color w:val="231F20"/>
          <w:spacing w:val="-47"/>
        </w:rPr>
        <w:t> </w:t>
      </w:r>
      <w:r>
        <w:rPr>
          <w:color w:val="231F20"/>
        </w:rPr>
        <w:t>life.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condition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subsequently</w:t>
      </w:r>
      <w:r>
        <w:rPr>
          <w:color w:val="231F20"/>
          <w:spacing w:val="-8"/>
        </w:rPr>
        <w:t> </w:t>
      </w:r>
      <w:r>
        <w:rPr>
          <w:color w:val="231F20"/>
        </w:rPr>
        <w:t>affect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well-</w:t>
      </w:r>
      <w:r>
        <w:rPr>
          <w:color w:val="231F20"/>
          <w:spacing w:val="-48"/>
        </w:rPr>
        <w:t> </w:t>
      </w:r>
      <w:r>
        <w:rPr>
          <w:color w:val="231F20"/>
        </w:rPr>
        <w:t>being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trigger</w:t>
      </w:r>
      <w:r>
        <w:rPr>
          <w:color w:val="231F20"/>
          <w:spacing w:val="41"/>
        </w:rPr>
        <w:t> </w:t>
      </w:r>
      <w:r>
        <w:rPr>
          <w:color w:val="231F20"/>
        </w:rPr>
        <w:t>depressive</w:t>
      </w:r>
      <w:r>
        <w:rPr>
          <w:color w:val="231F20"/>
          <w:spacing w:val="41"/>
        </w:rPr>
        <w:t> </w:t>
      </w:r>
      <w:r>
        <w:rPr>
          <w:color w:val="231F20"/>
        </w:rPr>
        <w:t>symptoms,</w:t>
      </w:r>
      <w:r>
        <w:rPr>
          <w:color w:val="231F20"/>
          <w:spacing w:val="41"/>
        </w:rPr>
        <w:t> </w:t>
      </w:r>
      <w:r>
        <w:rPr>
          <w:color w:val="231F20"/>
        </w:rPr>
        <w:t>leading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-47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acceleration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50"/>
        </w:rPr>
        <w:t> </w:t>
      </w:r>
      <w:r>
        <w:rPr>
          <w:color w:val="231F20"/>
        </w:rPr>
        <w:t>disability</w:t>
      </w:r>
      <w:r>
        <w:rPr>
          <w:color w:val="231F20"/>
          <w:spacing w:val="50"/>
        </w:rPr>
        <w:t> </w:t>
      </w:r>
      <w:r>
        <w:rPr>
          <w:color w:val="231F20"/>
        </w:rPr>
        <w:t>(Knesebeck</w:t>
      </w:r>
      <w:r>
        <w:rPr>
          <w:color w:val="231F20"/>
          <w:spacing w:val="50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0"/>
        </w:rPr>
        <w:t> </w:t>
      </w:r>
      <w:r>
        <w:rPr>
          <w:color w:val="231F20"/>
        </w:rPr>
        <w:t>2003).</w:t>
      </w:r>
    </w:p>
    <w:p>
      <w:pPr>
        <w:pStyle w:val="BodyText"/>
        <w:spacing w:line="249" w:lineRule="auto" w:before="13"/>
        <w:ind w:left="104" w:right="398" w:firstLine="328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self-rated health status and IADL disability in this</w:t>
      </w:r>
      <w:r>
        <w:rPr>
          <w:color w:val="231F20"/>
          <w:spacing w:val="1"/>
        </w:rPr>
        <w:t> </w:t>
      </w:r>
      <w:r>
        <w:rPr>
          <w:color w:val="231F20"/>
        </w:rPr>
        <w:t>study. Self-rated health status has been documented</w:t>
      </w:r>
      <w:r>
        <w:rPr>
          <w:color w:val="231F20"/>
          <w:spacing w:val="1"/>
        </w:rPr>
        <w:t> </w:t>
      </w:r>
      <w:r>
        <w:rPr>
          <w:color w:val="231F20"/>
        </w:rPr>
        <w:t>as a reliable and sensitive predictor for functional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disability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mortality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aging</w:t>
      </w:r>
      <w:r>
        <w:rPr>
          <w:color w:val="231F20"/>
          <w:spacing w:val="-11"/>
        </w:rPr>
        <w:t> </w:t>
      </w:r>
      <w:r>
        <w:rPr>
          <w:color w:val="231F20"/>
        </w:rPr>
        <w:t>population</w:t>
      </w:r>
      <w:r>
        <w:rPr>
          <w:color w:val="231F20"/>
          <w:spacing w:val="-11"/>
        </w:rPr>
        <w:t> </w:t>
      </w:r>
      <w:r>
        <w:rPr>
          <w:color w:val="231F20"/>
        </w:rPr>
        <w:t>(Bailis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et al</w:t>
      </w:r>
      <w:r>
        <w:rPr>
          <w:color w:val="231F20"/>
        </w:rPr>
        <w:t>., 2003; Spencer </w:t>
      </w:r>
      <w:r>
        <w:rPr>
          <w:i/>
          <w:color w:val="231F20"/>
        </w:rPr>
        <w:t>et al</w:t>
      </w:r>
      <w:r>
        <w:rPr>
          <w:color w:val="231F20"/>
        </w:rPr>
        <w:t>., 2009). It has been widely</w:t>
      </w:r>
      <w:r>
        <w:rPr>
          <w:color w:val="231F20"/>
          <w:spacing w:val="1"/>
        </w:rPr>
        <w:t> </w:t>
      </w:r>
      <w:r>
        <w:rPr>
          <w:color w:val="231F20"/>
        </w:rPr>
        <w:t>used in many health surveys globally (Meurer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2001;</w:t>
      </w:r>
      <w:r>
        <w:rPr>
          <w:color w:val="231F20"/>
          <w:spacing w:val="-7"/>
        </w:rPr>
        <w:t> </w:t>
      </w:r>
      <w:r>
        <w:rPr>
          <w:color w:val="231F20"/>
        </w:rPr>
        <w:t>Meng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7"/>
        </w:rPr>
        <w:t> </w:t>
      </w:r>
      <w:r>
        <w:rPr>
          <w:color w:val="231F20"/>
        </w:rPr>
        <w:t>2014).</w:t>
      </w:r>
      <w:r>
        <w:rPr>
          <w:color w:val="231F20"/>
          <w:spacing w:val="-6"/>
        </w:rPr>
        <w:t> </w:t>
      </w:r>
      <w:r>
        <w:rPr>
          <w:color w:val="231F20"/>
        </w:rPr>
        <w:t>Poor</w:t>
      </w:r>
      <w:r>
        <w:rPr>
          <w:color w:val="231F20"/>
          <w:spacing w:val="-7"/>
        </w:rPr>
        <w:t> </w:t>
      </w:r>
      <w:r>
        <w:rPr>
          <w:color w:val="231F20"/>
        </w:rPr>
        <w:t>self-rated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</w:rPr>
        <w:t>status</w:t>
      </w:r>
      <w:r>
        <w:rPr>
          <w:color w:val="231F20"/>
          <w:spacing w:val="-47"/>
        </w:rPr>
        <w:t> </w:t>
      </w:r>
      <w:r>
        <w:rPr>
          <w:color w:val="231F20"/>
        </w:rPr>
        <w:t>was significantly higher among individuals with a</w:t>
      </w:r>
      <w:r>
        <w:rPr>
          <w:color w:val="231F20"/>
          <w:spacing w:val="1"/>
        </w:rPr>
        <w:t> </w:t>
      </w:r>
      <w:r>
        <w:rPr>
          <w:color w:val="231F20"/>
        </w:rPr>
        <w:t>lower feeling of happiness. This may reflect the poor</w:t>
      </w:r>
      <w:r>
        <w:rPr>
          <w:color w:val="231F20"/>
          <w:spacing w:val="1"/>
        </w:rPr>
        <w:t> </w:t>
      </w:r>
      <w:r>
        <w:rPr>
          <w:color w:val="231F20"/>
        </w:rPr>
        <w:t>well-being of the elderly and their subjective vitality</w:t>
      </w:r>
      <w:r>
        <w:rPr>
          <w:color w:val="231F20"/>
          <w:spacing w:val="1"/>
        </w:rPr>
        <w:t> </w:t>
      </w:r>
      <w:r>
        <w:rPr>
          <w:color w:val="231F20"/>
        </w:rPr>
        <w:t>(Borim </w:t>
      </w:r>
      <w:r>
        <w:rPr>
          <w:i/>
          <w:color w:val="231F20"/>
        </w:rPr>
        <w:t>et al</w:t>
      </w:r>
      <w:r>
        <w:rPr>
          <w:color w:val="231F20"/>
        </w:rPr>
        <w:t>., 2014). An earlier study also identified</w:t>
      </w:r>
      <w:r>
        <w:rPr>
          <w:color w:val="231F20"/>
          <w:spacing w:val="1"/>
        </w:rPr>
        <w:t> </w:t>
      </w:r>
      <w:r>
        <w:rPr>
          <w:color w:val="231F20"/>
        </w:rPr>
        <w:t>most of the respondents who reported poor health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5"/>
        </w:rPr>
        <w:t> </w:t>
      </w:r>
      <w:r>
        <w:rPr>
          <w:color w:val="231F20"/>
        </w:rPr>
        <w:t>were</w:t>
      </w:r>
      <w:r>
        <w:rPr>
          <w:color w:val="231F20"/>
          <w:spacing w:val="6"/>
        </w:rPr>
        <w:t> </w:t>
      </w:r>
      <w:r>
        <w:rPr>
          <w:color w:val="231F20"/>
        </w:rPr>
        <w:t>those</w:t>
      </w:r>
      <w:r>
        <w:rPr>
          <w:color w:val="231F20"/>
          <w:spacing w:val="5"/>
        </w:rPr>
        <w:t> </w:t>
      </w:r>
      <w:r>
        <w:rPr>
          <w:color w:val="231F20"/>
        </w:rPr>
        <w:t>who</w:t>
      </w:r>
      <w:r>
        <w:rPr>
          <w:color w:val="231F20"/>
          <w:spacing w:val="6"/>
        </w:rPr>
        <w:t> </w:t>
      </w:r>
      <w:r>
        <w:rPr>
          <w:color w:val="231F20"/>
        </w:rPr>
        <w:t>belong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older</w:t>
      </w:r>
      <w:r>
        <w:rPr>
          <w:color w:val="231F20"/>
          <w:spacing w:val="6"/>
        </w:rPr>
        <w:t> </w:t>
      </w:r>
      <w:r>
        <w:rPr>
          <w:color w:val="231F20"/>
        </w:rPr>
        <w:t>age</w:t>
      </w:r>
      <w:r>
        <w:rPr>
          <w:color w:val="231F20"/>
          <w:spacing w:val="6"/>
        </w:rPr>
        <w:t> </w:t>
      </w:r>
      <w:r>
        <w:rPr>
          <w:color w:val="231F20"/>
        </w:rPr>
        <w:t>group,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6" w:space="412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387" w:right="40"/>
        <w:jc w:val="both"/>
      </w:pPr>
      <w:r>
        <w:rPr>
          <w:color w:val="231F20"/>
        </w:rPr>
        <w:t>did not have formal education, and were from low</w:t>
      </w:r>
      <w:r>
        <w:rPr>
          <w:color w:val="231F20"/>
          <w:spacing w:val="1"/>
        </w:rPr>
        <w:t> </w:t>
      </w:r>
      <w:r>
        <w:rPr>
          <w:color w:val="231F20"/>
        </w:rPr>
        <w:t>socioeconomic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(Phaswana-Mafuya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2013).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color w:val="231F20"/>
        </w:rPr>
        <w:t>Strengths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limitations</w:t>
      </w:r>
    </w:p>
    <w:p>
      <w:pPr>
        <w:pStyle w:val="BodyText"/>
        <w:spacing w:line="249" w:lineRule="auto" w:before="10"/>
        <w:ind w:left="387" w:right="38" w:firstLine="328"/>
        <w:jc w:val="both"/>
      </w:pP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explored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influencing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attending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clinics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Kelantan.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several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shortcomings.</w:t>
      </w:r>
      <w:r>
        <w:rPr>
          <w:color w:val="231F20"/>
          <w:spacing w:val="1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guided</w:t>
      </w:r>
      <w:r>
        <w:rPr>
          <w:color w:val="231F20"/>
          <w:spacing w:val="12"/>
        </w:rPr>
        <w:t> </w:t>
      </w:r>
      <w:r>
        <w:rPr>
          <w:color w:val="231F20"/>
        </w:rPr>
        <w:t>questionnaire, it carries the risk of interviewer and</w:t>
      </w:r>
      <w:r>
        <w:rPr>
          <w:color w:val="231F20"/>
          <w:spacing w:val="1"/>
        </w:rPr>
        <w:t> </w:t>
      </w:r>
      <w:r>
        <w:rPr>
          <w:color w:val="231F20"/>
        </w:rPr>
        <w:t>respondent</w:t>
      </w:r>
      <w:r>
        <w:rPr>
          <w:color w:val="231F20"/>
          <w:spacing w:val="1"/>
        </w:rPr>
        <w:t> </w:t>
      </w:r>
      <w:r>
        <w:rPr>
          <w:color w:val="231F20"/>
        </w:rPr>
        <w:t>bias.</w:t>
      </w:r>
      <w:r>
        <w:rPr>
          <w:color w:val="231F20"/>
          <w:spacing w:val="1"/>
        </w:rPr>
        <w:t> </w:t>
      </w:r>
      <w:r>
        <w:rPr>
          <w:color w:val="231F20"/>
        </w:rPr>
        <w:t>Interviewers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introduce</w:t>
      </w:r>
      <w:r>
        <w:rPr>
          <w:color w:val="231F20"/>
          <w:spacing w:val="1"/>
        </w:rPr>
        <w:t> </w:t>
      </w:r>
      <w:r>
        <w:rPr>
          <w:color w:val="231F20"/>
        </w:rPr>
        <w:t>errors</w:t>
      </w:r>
      <w:r>
        <w:rPr>
          <w:color w:val="231F20"/>
          <w:spacing w:val="-47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questionnaire </w:t>
      </w:r>
      <w:r>
        <w:rPr>
          <w:color w:val="231F20"/>
          <w:spacing w:val="9"/>
        </w:rPr>
        <w:t>either during running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interview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helping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respondents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ways to answer the provided questions. Respondent</w:t>
      </w:r>
      <w:r>
        <w:rPr>
          <w:color w:val="231F20"/>
          <w:spacing w:val="1"/>
        </w:rPr>
        <w:t> </w:t>
      </w:r>
      <w:r>
        <w:rPr>
          <w:color w:val="231F20"/>
        </w:rPr>
        <w:t>bias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occur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result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participants’</w:t>
      </w:r>
      <w:r>
        <w:rPr>
          <w:color w:val="231F20"/>
          <w:spacing w:val="12"/>
        </w:rPr>
        <w:t> </w:t>
      </w:r>
      <w:r>
        <w:rPr>
          <w:color w:val="231F20"/>
        </w:rPr>
        <w:t>unwillingness to provide accurate or honest answers</w:t>
      </w:r>
      <w:r>
        <w:rPr>
          <w:color w:val="231F20"/>
          <w:spacing w:val="1"/>
        </w:rPr>
        <w:t> </w:t>
      </w:r>
      <w:r>
        <w:rPr>
          <w:color w:val="231F20"/>
        </w:rPr>
        <w:t>to this study. Moreover, healthcare access bias may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exist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sample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involved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 who attended the clinics and missed out on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community</w:t>
      </w:r>
      <w:r>
        <w:rPr>
          <w:color w:val="231F20"/>
          <w:spacing w:val="21"/>
        </w:rPr>
        <w:t> </w:t>
      </w:r>
      <w:r>
        <w:rPr>
          <w:color w:val="231F20"/>
        </w:rPr>
        <w:t>who</w:t>
      </w:r>
      <w:r>
        <w:rPr>
          <w:color w:val="231F20"/>
          <w:spacing w:val="21"/>
        </w:rPr>
        <w:t> </w:t>
      </w:r>
      <w:r>
        <w:rPr>
          <w:color w:val="231F20"/>
        </w:rPr>
        <w:t>did</w:t>
      </w:r>
      <w:r>
        <w:rPr>
          <w:color w:val="231F20"/>
          <w:spacing w:val="21"/>
        </w:rPr>
        <w:t> </w:t>
      </w:r>
      <w:r>
        <w:rPr>
          <w:color w:val="231F20"/>
        </w:rPr>
        <w:t>not</w:t>
      </w:r>
      <w:r>
        <w:rPr>
          <w:color w:val="231F20"/>
          <w:spacing w:val="21"/>
        </w:rPr>
        <w:t> </w:t>
      </w:r>
      <w:r>
        <w:rPr>
          <w:color w:val="231F20"/>
        </w:rPr>
        <w:t>have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chance</w:t>
      </w:r>
      <w:r>
        <w:rPr>
          <w:color w:val="231F20"/>
          <w:spacing w:val="-48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attend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clinics.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1"/>
      </w:pPr>
      <w:r>
        <w:rPr>
          <w:color w:val="231F20"/>
        </w:rPr>
        <w:t>CONCLUSION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387" w:right="38"/>
        <w:jc w:val="both"/>
      </w:pPr>
      <w:r>
        <w:rPr>
          <w:color w:val="231F20"/>
        </w:rPr>
        <w:t>We identified that one-third of the elderly attending</w:t>
      </w:r>
      <w:r>
        <w:rPr>
          <w:color w:val="231F20"/>
          <w:spacing w:val="1"/>
        </w:rPr>
        <w:t> </w:t>
      </w:r>
      <w:r>
        <w:rPr>
          <w:color w:val="231F20"/>
        </w:rPr>
        <w:t>health clinics in Kelantan had disabled IADL status.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influencing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among elderly attending health clinics were older age</w:t>
      </w:r>
      <w:r>
        <w:rPr>
          <w:color w:val="231F20"/>
          <w:spacing w:val="-47"/>
        </w:rPr>
        <w:t> </w:t>
      </w:r>
      <w:r>
        <w:rPr>
          <w:color w:val="231F20"/>
        </w:rPr>
        <w:t>group, being unmarried, no formal education, low</w:t>
      </w:r>
      <w:r>
        <w:rPr>
          <w:color w:val="231F20"/>
          <w:spacing w:val="1"/>
        </w:rPr>
        <w:t> </w:t>
      </w:r>
      <w:r>
        <w:rPr>
          <w:color w:val="231F20"/>
        </w:rPr>
        <w:t>level of income, and those who reported fair or poor</w:t>
      </w:r>
      <w:r>
        <w:rPr>
          <w:color w:val="231F20"/>
          <w:spacing w:val="1"/>
        </w:rPr>
        <w:t> </w:t>
      </w:r>
      <w:r>
        <w:rPr>
          <w:color w:val="231F20"/>
        </w:rPr>
        <w:t>self-rated health status. Exposure to socioeconomic</w:t>
      </w:r>
      <w:r>
        <w:rPr>
          <w:color w:val="231F20"/>
          <w:spacing w:val="1"/>
        </w:rPr>
        <w:t> </w:t>
      </w:r>
      <w:r>
        <w:rPr>
          <w:color w:val="231F20"/>
        </w:rPr>
        <w:t>adversity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contributed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progressive</w:t>
      </w:r>
      <w:r>
        <w:rPr>
          <w:color w:val="231F20"/>
          <w:spacing w:val="5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issues among the elderly. Given the identified factors</w:t>
      </w:r>
      <w:r>
        <w:rPr>
          <w:color w:val="231F20"/>
          <w:spacing w:val="-47"/>
        </w:rPr>
        <w:t> </w:t>
      </w:r>
      <w:r>
        <w:rPr>
          <w:color w:val="231F20"/>
        </w:rPr>
        <w:t>influencing IADL disability, health policies should</w:t>
      </w:r>
      <w:r>
        <w:rPr>
          <w:color w:val="231F20"/>
          <w:spacing w:val="1"/>
        </w:rPr>
        <w:t> </w:t>
      </w:r>
      <w:r>
        <w:rPr>
          <w:color w:val="231F20"/>
        </w:rPr>
        <w:t>aim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reducing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burden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health-related</w:t>
      </w:r>
      <w:r>
        <w:rPr>
          <w:color w:val="231F20"/>
          <w:spacing w:val="12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accompany</w:t>
      </w:r>
      <w:r>
        <w:rPr>
          <w:color w:val="231F20"/>
          <w:spacing w:val="1"/>
        </w:rPr>
        <w:t> </w:t>
      </w:r>
      <w:r>
        <w:rPr>
          <w:color w:val="231F20"/>
        </w:rPr>
        <w:t>old</w:t>
      </w:r>
      <w:r>
        <w:rPr>
          <w:color w:val="231F20"/>
          <w:spacing w:val="1"/>
        </w:rPr>
        <w:t> </w:t>
      </w:r>
      <w:r>
        <w:rPr>
          <w:color w:val="231F20"/>
        </w:rPr>
        <w:t>age.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achieved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early</w:t>
      </w:r>
      <w:r>
        <w:rPr>
          <w:color w:val="231F20"/>
          <w:spacing w:val="1"/>
        </w:rPr>
        <w:t> </w:t>
      </w:r>
      <w:r>
        <w:rPr>
          <w:color w:val="231F20"/>
        </w:rPr>
        <w:t>identification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management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disabling</w:t>
      </w:r>
      <w:r>
        <w:rPr>
          <w:color w:val="231F20"/>
          <w:spacing w:val="1"/>
        </w:rPr>
        <w:t> </w:t>
      </w:r>
      <w:r>
        <w:rPr>
          <w:color w:val="231F20"/>
        </w:rPr>
        <w:t>conditions.</w:t>
      </w:r>
      <w:r>
        <w:rPr>
          <w:color w:val="231F20"/>
          <w:spacing w:val="1"/>
        </w:rPr>
        <w:t> </w:t>
      </w:r>
      <w:r>
        <w:rPr>
          <w:color w:val="231F20"/>
        </w:rPr>
        <w:t>Moreover, given the importance of the social context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contributing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IADL</w:t>
      </w:r>
      <w:r>
        <w:rPr>
          <w:color w:val="231F20"/>
          <w:spacing w:val="11"/>
        </w:rPr>
        <w:t> </w:t>
      </w:r>
      <w:r>
        <w:rPr>
          <w:color w:val="231F20"/>
          <w:spacing w:val="10"/>
        </w:rPr>
        <w:t>disability, </w:t>
      </w:r>
      <w:r>
        <w:rPr>
          <w:color w:val="231F20"/>
          <w:spacing w:val="9"/>
        </w:rPr>
        <w:t>assistance should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offered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disabled</w:t>
      </w:r>
      <w:r>
        <w:rPr>
          <w:color w:val="231F20"/>
          <w:spacing w:val="1"/>
        </w:rPr>
        <w:t> </w:t>
      </w:r>
      <w:r>
        <w:rPr>
          <w:color w:val="231F20"/>
        </w:rPr>
        <w:t>elderly.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all,</w:t>
      </w:r>
      <w:r>
        <w:rPr>
          <w:color w:val="231F20"/>
          <w:spacing w:val="1"/>
        </w:rPr>
        <w:t> </w:t>
      </w:r>
      <w:r>
        <w:rPr>
          <w:color w:val="231F20"/>
        </w:rPr>
        <w:t>recognition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critical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promote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better</w:t>
      </w:r>
      <w:r>
        <w:rPr>
          <w:color w:val="231F20"/>
          <w:spacing w:val="33"/>
        </w:rPr>
        <w:t> </w:t>
      </w:r>
      <w:r>
        <w:rPr>
          <w:color w:val="231F20"/>
        </w:rPr>
        <w:t>health</w:t>
      </w:r>
      <w:r>
        <w:rPr>
          <w:color w:val="231F20"/>
          <w:spacing w:val="32"/>
        </w:rPr>
        <w:t> </w:t>
      </w:r>
      <w:r>
        <w:rPr>
          <w:color w:val="231F20"/>
        </w:rPr>
        <w:t>policy</w:t>
      </w:r>
      <w:r>
        <w:rPr>
          <w:color w:val="231F20"/>
          <w:spacing w:val="1"/>
        </w:rPr>
        <w:t> </w:t>
      </w:r>
      <w:r>
        <w:rPr>
          <w:color w:val="231F20"/>
        </w:rPr>
        <w:t>and to provide appropriate care for the elderly in the</w:t>
      </w:r>
      <w:r>
        <w:rPr>
          <w:color w:val="231F20"/>
          <w:spacing w:val="1"/>
        </w:rPr>
        <w:t> </w:t>
      </w:r>
      <w:r>
        <w:rPr>
          <w:color w:val="231F20"/>
        </w:rPr>
        <w:t>country.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</w:pPr>
      <w:r>
        <w:rPr>
          <w:color w:val="231F20"/>
        </w:rPr>
        <w:t>ACKNOWLEDGEMENTS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387" w:right="47"/>
        <w:jc w:val="both"/>
      </w:pP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Ministry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48"/>
        </w:rPr>
        <w:t> </w:t>
      </w:r>
      <w:r>
        <w:rPr>
          <w:color w:val="231F20"/>
        </w:rPr>
        <w:t>Malaysia for allowing us to conduct this research 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</w:rPr>
        <w:t>clinics</w:t>
      </w:r>
      <w:r>
        <w:rPr>
          <w:color w:val="231F20"/>
          <w:spacing w:val="-10"/>
        </w:rPr>
        <w:t> </w:t>
      </w:r>
      <w:r>
        <w:rPr>
          <w:color w:val="231F20"/>
        </w:rPr>
        <w:t>(Ref:</w:t>
      </w:r>
      <w:r>
        <w:rPr>
          <w:color w:val="231F20"/>
          <w:spacing w:val="-9"/>
        </w:rPr>
        <w:t> </w:t>
      </w:r>
      <w:r>
        <w:rPr>
          <w:color w:val="231F20"/>
        </w:rPr>
        <w:t>NMRR-19-3288-51819</w:t>
      </w:r>
      <w:r>
        <w:rPr>
          <w:color w:val="231F20"/>
          <w:spacing w:val="-9"/>
        </w:rPr>
        <w:t> </w:t>
      </w:r>
      <w:r>
        <w:rPr>
          <w:color w:val="231F20"/>
        </w:rPr>
        <w:t>IIR).</w:t>
      </w:r>
      <w:r>
        <w:rPr>
          <w:color w:val="231F20"/>
          <w:spacing w:val="-48"/>
        </w:rPr>
        <w:t> </w:t>
      </w:r>
      <w:r>
        <w:rPr>
          <w:color w:val="231F20"/>
        </w:rPr>
        <w:t>Our</w:t>
      </w:r>
      <w:r>
        <w:rPr>
          <w:color w:val="231F20"/>
          <w:spacing w:val="-12"/>
        </w:rPr>
        <w:t> </w:t>
      </w:r>
      <w:r>
        <w:rPr>
          <w:color w:val="231F20"/>
        </w:rPr>
        <w:t>gratitude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staff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Primary</w:t>
      </w:r>
      <w:r>
        <w:rPr>
          <w:color w:val="231F20"/>
          <w:spacing w:val="-11"/>
        </w:rPr>
        <w:t> </w:t>
      </w:r>
      <w:r>
        <w:rPr>
          <w:color w:val="231F20"/>
        </w:rPr>
        <w:t>Health</w:t>
      </w:r>
      <w:r>
        <w:rPr>
          <w:color w:val="231F20"/>
          <w:spacing w:val="-12"/>
        </w:rPr>
        <w:t> </w:t>
      </w:r>
      <w:r>
        <w:rPr>
          <w:color w:val="231F20"/>
        </w:rPr>
        <w:t>Care</w:t>
      </w:r>
      <w:r>
        <w:rPr>
          <w:color w:val="231F20"/>
          <w:spacing w:val="-48"/>
        </w:rPr>
        <w:t> </w:t>
      </w:r>
      <w:r>
        <w:rPr>
          <w:color w:val="231F20"/>
        </w:rPr>
        <w:t>Unit, Kelantan State Health Department, and health</w:t>
      </w:r>
      <w:r>
        <w:rPr>
          <w:color w:val="231F20"/>
          <w:spacing w:val="1"/>
        </w:rPr>
        <w:t> </w:t>
      </w:r>
      <w:r>
        <w:rPr>
          <w:color w:val="231F20"/>
        </w:rPr>
        <w:t>clinics</w:t>
      </w:r>
      <w:r>
        <w:rPr>
          <w:color w:val="231F20"/>
          <w:spacing w:val="9"/>
        </w:rPr>
        <w:t> </w:t>
      </w:r>
      <w:r>
        <w:rPr>
          <w:color w:val="231F20"/>
        </w:rPr>
        <w:t>involved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study.</w:t>
      </w:r>
    </w:p>
    <w:p>
      <w:pPr>
        <w:pStyle w:val="Heading1"/>
        <w:spacing w:before="92"/>
      </w:pPr>
      <w:r>
        <w:rPr>
          <w:b w:val="0"/>
        </w:rPr>
        <w:br w:type="column"/>
      </w:r>
      <w:r>
        <w:rPr>
          <w:color w:val="231F20"/>
        </w:rPr>
        <w:t>REFERENCES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 w:before="1"/>
        <w:ind w:left="716" w:right="116" w:hanging="329"/>
        <w:jc w:val="both"/>
      </w:pPr>
      <w:r>
        <w:rPr>
          <w:color w:val="231F20"/>
          <w:spacing w:val="-3"/>
        </w:rPr>
        <w:t>Arias-Merino, </w:t>
      </w:r>
      <w:r>
        <w:rPr>
          <w:color w:val="231F20"/>
          <w:spacing w:val="-2"/>
        </w:rPr>
        <w:t>E.D., Mendoza-Ruvalcaba, N.M., Ortiz,</w:t>
      </w:r>
      <w:r>
        <w:rPr>
          <w:color w:val="231F20"/>
          <w:spacing w:val="-47"/>
        </w:rPr>
        <w:t> </w:t>
      </w:r>
      <w:r>
        <w:rPr>
          <w:color w:val="231F20"/>
        </w:rPr>
        <w:t>G.G.,</w:t>
      </w:r>
      <w:r>
        <w:rPr>
          <w:color w:val="231F20"/>
          <w:spacing w:val="-10"/>
        </w:rPr>
        <w:t> </w:t>
      </w:r>
      <w:r>
        <w:rPr>
          <w:color w:val="231F20"/>
        </w:rPr>
        <w:t>Velazquez-Brizuela,</w:t>
      </w:r>
      <w:r>
        <w:rPr>
          <w:color w:val="231F20"/>
          <w:spacing w:val="-10"/>
        </w:rPr>
        <w:t> </w:t>
      </w:r>
      <w:r>
        <w:rPr>
          <w:color w:val="231F20"/>
        </w:rPr>
        <w:t>I.E.,</w:t>
      </w:r>
      <w:r>
        <w:rPr>
          <w:color w:val="231F20"/>
          <w:spacing w:val="-10"/>
        </w:rPr>
        <w:t> </w:t>
      </w:r>
      <w:r>
        <w:rPr>
          <w:color w:val="231F20"/>
        </w:rPr>
        <w:t>Meda-Lara,</w:t>
      </w:r>
      <w:r>
        <w:rPr>
          <w:color w:val="231F20"/>
          <w:spacing w:val="-10"/>
        </w:rPr>
        <w:t> </w:t>
      </w:r>
      <w:r>
        <w:rPr>
          <w:color w:val="231F20"/>
        </w:rPr>
        <w:t>R.M.</w:t>
      </w:r>
      <w:r>
        <w:rPr>
          <w:color w:val="231F20"/>
          <w:spacing w:val="-48"/>
        </w:rPr>
        <w:t> </w:t>
      </w:r>
      <w:r>
        <w:rPr>
          <w:color w:val="231F20"/>
        </w:rPr>
        <w:t>&amp; Cueva-Contreras, J. 2012. Physical function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community-dwelling</w:t>
      </w:r>
      <w:r>
        <w:rPr>
          <w:color w:val="231F20"/>
          <w:spacing w:val="1"/>
        </w:rPr>
        <w:t> </w:t>
      </w:r>
      <w:r>
        <w:rPr>
          <w:color w:val="231F20"/>
        </w:rPr>
        <w:t>elderly people in Jalisco, Mexico. </w:t>
      </w:r>
      <w:r>
        <w:rPr>
          <w:i/>
          <w:color w:val="231F20"/>
        </w:rPr>
        <w:t>Arch Gerontol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Geriatr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b/>
          <w:color w:val="231F20"/>
        </w:rPr>
        <w:t>54(3)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e271-e278.</w:t>
      </w:r>
    </w:p>
    <w:p>
      <w:pPr>
        <w:spacing w:line="249" w:lineRule="auto" w:before="5"/>
        <w:ind w:left="728" w:right="119" w:hanging="341"/>
        <w:jc w:val="both"/>
        <w:rPr>
          <w:sz w:val="20"/>
        </w:rPr>
      </w:pPr>
      <w:r>
        <w:rPr>
          <w:color w:val="231F20"/>
          <w:spacing w:val="-2"/>
          <w:sz w:val="20"/>
        </w:rPr>
        <w:t>Bailis,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D.S.,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Segall,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&amp;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Chipperfield,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J.G.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2003.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Two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views of self-rated general health status.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Science &amp; Medicine</w:t>
      </w:r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56(2)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203-217.</w:t>
      </w:r>
    </w:p>
    <w:p>
      <w:pPr>
        <w:pStyle w:val="BodyText"/>
        <w:spacing w:line="249" w:lineRule="auto" w:before="2"/>
        <w:ind w:left="716" w:right="121" w:hanging="329"/>
        <w:jc w:val="both"/>
      </w:pPr>
      <w:r>
        <w:rPr>
          <w:color w:val="231F20"/>
        </w:rPr>
        <w:t>Borim,</w:t>
      </w:r>
      <w:r>
        <w:rPr>
          <w:color w:val="231F20"/>
          <w:spacing w:val="1"/>
        </w:rPr>
        <w:t> </w:t>
      </w:r>
      <w:r>
        <w:rPr>
          <w:color w:val="231F20"/>
        </w:rPr>
        <w:t>F.S.A.,</w:t>
      </w:r>
      <w:r>
        <w:rPr>
          <w:color w:val="231F20"/>
          <w:spacing w:val="1"/>
        </w:rPr>
        <w:t> </w:t>
      </w:r>
      <w:r>
        <w:rPr>
          <w:color w:val="231F20"/>
        </w:rPr>
        <w:t>Neri,</w:t>
      </w:r>
      <w:r>
        <w:rPr>
          <w:color w:val="231F20"/>
          <w:spacing w:val="1"/>
        </w:rPr>
        <w:t> </w:t>
      </w:r>
      <w:r>
        <w:rPr>
          <w:color w:val="231F20"/>
        </w:rPr>
        <w:t>A.L.,</w:t>
      </w:r>
      <w:r>
        <w:rPr>
          <w:color w:val="231F20"/>
          <w:spacing w:val="50"/>
        </w:rPr>
        <w:t> </w:t>
      </w:r>
      <w:r>
        <w:rPr>
          <w:color w:val="231F20"/>
        </w:rPr>
        <w:t>Francisco,</w:t>
      </w:r>
      <w:r>
        <w:rPr>
          <w:color w:val="231F20"/>
          <w:spacing w:val="50"/>
        </w:rPr>
        <w:t> </w:t>
      </w:r>
      <w:r>
        <w:rPr>
          <w:color w:val="231F20"/>
        </w:rPr>
        <w:t>P.M.S.B.</w:t>
      </w:r>
      <w:r>
        <w:rPr>
          <w:color w:val="231F20"/>
          <w:spacing w:val="50"/>
        </w:rPr>
        <w:t> </w:t>
      </w:r>
      <w:r>
        <w:rPr>
          <w:color w:val="231F20"/>
        </w:rPr>
        <w:t>&amp;</w:t>
      </w:r>
      <w:r>
        <w:rPr>
          <w:color w:val="231F20"/>
          <w:spacing w:val="-47"/>
        </w:rPr>
        <w:t> </w:t>
      </w:r>
      <w:r>
        <w:rPr>
          <w:color w:val="231F20"/>
        </w:rPr>
        <w:t>de Avezedo Barros, M.B. 2014. Dimensions of</w:t>
      </w:r>
      <w:r>
        <w:rPr>
          <w:color w:val="231F20"/>
          <w:spacing w:val="1"/>
        </w:rPr>
        <w:t> </w:t>
      </w:r>
      <w:r>
        <w:rPr>
          <w:color w:val="231F20"/>
        </w:rPr>
        <w:t>self-rated health in older adults. </w:t>
      </w:r>
      <w:r>
        <w:rPr>
          <w:i/>
          <w:color w:val="231F20"/>
        </w:rPr>
        <w:t>Revista de Saúde</w:t>
      </w:r>
      <w:r>
        <w:rPr>
          <w:i/>
          <w:color w:val="231F20"/>
          <w:spacing w:val="-48"/>
        </w:rPr>
        <w:t> </w:t>
      </w:r>
      <w:r>
        <w:rPr>
          <w:i/>
          <w:color w:val="231F20"/>
        </w:rPr>
        <w:t>Pública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48(5)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714-722.</w:t>
      </w:r>
    </w:p>
    <w:p>
      <w:pPr>
        <w:pStyle w:val="BodyText"/>
        <w:spacing w:line="249" w:lineRule="auto" w:before="3"/>
        <w:ind w:left="728" w:right="114" w:hanging="341"/>
        <w:jc w:val="both"/>
      </w:pPr>
      <w:r>
        <w:rPr>
          <w:color w:val="231F20"/>
          <w:spacing w:val="-1"/>
        </w:rPr>
        <w:t>Brigola,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A.G.,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Alexandre,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T.d.S.,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Inouye,</w:t>
      </w:r>
      <w:r>
        <w:rPr>
          <w:color w:val="231F20"/>
          <w:spacing w:val="-11"/>
        </w:rPr>
        <w:t> </w:t>
      </w:r>
      <w:r>
        <w:rPr>
          <w:color w:val="231F20"/>
        </w:rPr>
        <w:t>K.,</w:t>
      </w:r>
      <w:r>
        <w:rPr>
          <w:color w:val="231F20"/>
          <w:spacing w:val="-12"/>
        </w:rPr>
        <w:t> </w:t>
      </w:r>
      <w:r>
        <w:rPr>
          <w:color w:val="231F20"/>
        </w:rPr>
        <w:t>Yassuda,</w:t>
      </w:r>
      <w:r>
        <w:rPr>
          <w:color w:val="231F20"/>
          <w:spacing w:val="-47"/>
        </w:rPr>
        <w:t> </w:t>
      </w:r>
      <w:r>
        <w:rPr>
          <w:color w:val="231F20"/>
        </w:rPr>
        <w:t>M.S.,</w:t>
      </w:r>
      <w:r>
        <w:rPr>
          <w:color w:val="231F20"/>
          <w:spacing w:val="-12"/>
        </w:rPr>
        <w:t> </w:t>
      </w:r>
      <w:r>
        <w:rPr>
          <w:color w:val="231F20"/>
        </w:rPr>
        <w:t>Pavarini,</w:t>
      </w:r>
      <w:r>
        <w:rPr>
          <w:color w:val="231F20"/>
          <w:spacing w:val="-12"/>
        </w:rPr>
        <w:t> </w:t>
      </w:r>
      <w:r>
        <w:rPr>
          <w:color w:val="231F20"/>
        </w:rPr>
        <w:t>S.C.I.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2"/>
        </w:rPr>
        <w:t> </w:t>
      </w:r>
      <w:r>
        <w:rPr>
          <w:color w:val="231F20"/>
        </w:rPr>
        <w:t>Mioshi,</w:t>
      </w:r>
      <w:r>
        <w:rPr>
          <w:color w:val="231F20"/>
          <w:spacing w:val="-11"/>
        </w:rPr>
        <w:t> </w:t>
      </w:r>
      <w:r>
        <w:rPr>
          <w:color w:val="231F20"/>
        </w:rPr>
        <w:t>E.</w:t>
      </w:r>
      <w:r>
        <w:rPr>
          <w:color w:val="231F20"/>
          <w:spacing w:val="-12"/>
        </w:rPr>
        <w:t> </w:t>
      </w:r>
      <w:r>
        <w:rPr>
          <w:color w:val="231F20"/>
        </w:rPr>
        <w:t>2019.</w:t>
      </w:r>
      <w:r>
        <w:rPr>
          <w:color w:val="231F20"/>
          <w:spacing w:val="-12"/>
        </w:rPr>
        <w:t> </w:t>
      </w:r>
      <w:r>
        <w:rPr>
          <w:color w:val="231F20"/>
        </w:rPr>
        <w:t>Limited</w:t>
      </w:r>
      <w:r>
        <w:rPr>
          <w:color w:val="231F20"/>
          <w:spacing w:val="-47"/>
        </w:rPr>
        <w:t> </w:t>
      </w:r>
      <w:r>
        <w:rPr>
          <w:color w:val="231F20"/>
        </w:rPr>
        <w:t>formal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strongly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lower cognitive status, functional disability 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frailty status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older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adults. </w:t>
      </w:r>
      <w:r>
        <w:rPr>
          <w:i/>
          <w:color w:val="231F20"/>
          <w:spacing w:val="9"/>
        </w:rPr>
        <w:t>Dementia </w:t>
      </w:r>
      <w:r>
        <w:rPr>
          <w:i/>
          <w:color w:val="231F20"/>
        </w:rPr>
        <w:t>&amp;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Neuropsychologia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b/>
          <w:color w:val="231F20"/>
        </w:rPr>
        <w:t>13</w:t>
      </w:r>
      <w:r>
        <w:rPr>
          <w:color w:val="231F20"/>
        </w:rPr>
        <w:t>: 216-224.</w:t>
      </w:r>
    </w:p>
    <w:p>
      <w:pPr>
        <w:pStyle w:val="BodyText"/>
        <w:spacing w:line="249" w:lineRule="auto" w:before="5"/>
        <w:ind w:left="716" w:right="108" w:hanging="329"/>
        <w:jc w:val="both"/>
      </w:pPr>
      <w:r>
        <w:rPr>
          <w:color w:val="231F20"/>
        </w:rPr>
        <w:t>Carmona-Torres,</w:t>
      </w:r>
      <w:r>
        <w:rPr>
          <w:color w:val="231F20"/>
          <w:spacing w:val="1"/>
        </w:rPr>
        <w:t> </w:t>
      </w:r>
      <w:r>
        <w:rPr>
          <w:color w:val="231F20"/>
        </w:rPr>
        <w:t>J.M.,</w:t>
      </w:r>
      <w:r>
        <w:rPr>
          <w:color w:val="231F20"/>
          <w:spacing w:val="1"/>
        </w:rPr>
        <w:t> </w:t>
      </w:r>
      <w:r>
        <w:rPr>
          <w:color w:val="231F20"/>
        </w:rPr>
        <w:t>Rodríguez-Borrego,</w:t>
      </w:r>
      <w:r>
        <w:rPr>
          <w:color w:val="231F20"/>
          <w:spacing w:val="1"/>
        </w:rPr>
        <w:t> </w:t>
      </w:r>
      <w:r>
        <w:rPr>
          <w:color w:val="231F20"/>
        </w:rPr>
        <w:t>M.A.,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Laredo-Aguilera,</w:t>
      </w:r>
      <w:r>
        <w:rPr>
          <w:color w:val="231F20"/>
          <w:spacing w:val="11"/>
        </w:rPr>
        <w:t> </w:t>
      </w:r>
      <w:r>
        <w:rPr>
          <w:color w:val="231F20"/>
        </w:rPr>
        <w:t>J.A.,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López-Soto,</w:t>
      </w:r>
      <w:r>
        <w:rPr>
          <w:color w:val="231F20"/>
          <w:spacing w:val="11"/>
        </w:rPr>
        <w:t> P.J.,</w:t>
      </w:r>
      <w:r>
        <w:rPr>
          <w:color w:val="231F20"/>
          <w:spacing w:val="12"/>
        </w:rPr>
        <w:t> </w:t>
      </w:r>
      <w:r>
        <w:rPr>
          <w:color w:val="231F20"/>
        </w:rPr>
        <w:t>Santacruz-Salas, E. &amp; Cobo-Cuenca, A.I. 2019.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basic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instrumental</w:t>
      </w:r>
      <w:r>
        <w:rPr>
          <w:color w:val="231F20"/>
          <w:spacing w:val="50"/>
        </w:rPr>
        <w:t> </w:t>
      </w:r>
      <w:r>
        <w:rPr>
          <w:color w:val="231F20"/>
        </w:rPr>
        <w:t>activities</w:t>
      </w:r>
      <w:r>
        <w:rPr>
          <w:color w:val="231F20"/>
          <w:spacing w:val="-47"/>
        </w:rPr>
        <w:t> </w:t>
      </w:r>
      <w:r>
        <w:rPr>
          <w:color w:val="231F20"/>
        </w:rPr>
        <w:t>of daily living in older individuals. </w:t>
      </w:r>
      <w:r>
        <w:rPr>
          <w:i/>
          <w:color w:val="231F20"/>
        </w:rPr>
        <w:t>PLoS One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14(7)</w:t>
      </w:r>
      <w:r>
        <w:rPr>
          <w:color w:val="231F20"/>
        </w:rPr>
        <w:t>;</w:t>
      </w:r>
      <w:r>
        <w:rPr>
          <w:color w:val="231F20"/>
          <w:spacing w:val="-11"/>
        </w:rPr>
        <w:t> </w:t>
      </w:r>
      <w:r>
        <w:rPr>
          <w:color w:val="231F20"/>
        </w:rPr>
        <w:t>e0220157-e0220157.</w:t>
      </w:r>
    </w:p>
    <w:p>
      <w:pPr>
        <w:pStyle w:val="BodyText"/>
        <w:spacing w:line="249" w:lineRule="auto" w:before="5"/>
        <w:ind w:left="728" w:right="109" w:hanging="341"/>
        <w:jc w:val="both"/>
      </w:pPr>
      <w:r>
        <w:rPr>
          <w:color w:val="231F20"/>
        </w:rPr>
        <w:t>Connolly, D., Garvey, J. &amp; McKee, G. 2017. Factors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associated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ADL/IADL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disability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community</w:t>
      </w:r>
      <w:r>
        <w:rPr>
          <w:color w:val="231F20"/>
          <w:spacing w:val="1"/>
        </w:rPr>
        <w:t> </w:t>
      </w:r>
      <w:r>
        <w:rPr>
          <w:color w:val="231F20"/>
        </w:rPr>
        <w:t>dwelling</w:t>
      </w:r>
      <w:r>
        <w:rPr>
          <w:color w:val="231F20"/>
          <w:spacing w:val="1"/>
        </w:rPr>
        <w:t> </w:t>
      </w:r>
      <w:r>
        <w:rPr>
          <w:color w:val="231F20"/>
        </w:rPr>
        <w:t>older</w:t>
      </w:r>
      <w:r>
        <w:rPr>
          <w:color w:val="231F20"/>
          <w:spacing w:val="1"/>
        </w:rPr>
        <w:t> </w:t>
      </w:r>
      <w:r>
        <w:rPr>
          <w:color w:val="231F20"/>
        </w:rPr>
        <w:t>adults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Irish</w:t>
      </w:r>
      <w:r>
        <w:rPr>
          <w:color w:val="231F20"/>
          <w:spacing w:val="1"/>
        </w:rPr>
        <w:t> </w:t>
      </w:r>
      <w:r>
        <w:rPr>
          <w:color w:val="231F20"/>
        </w:rPr>
        <w:t>longitudinal study on ageing (TILDA). </w:t>
      </w:r>
      <w:r>
        <w:rPr>
          <w:i/>
          <w:color w:val="231F20"/>
        </w:rPr>
        <w:t>Disabil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Rehabil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39(8)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809-816.</w:t>
      </w:r>
    </w:p>
    <w:p>
      <w:pPr>
        <w:pStyle w:val="BodyText"/>
        <w:spacing w:line="234" w:lineRule="exact"/>
        <w:ind w:left="387"/>
      </w:pPr>
      <w:r>
        <w:rPr>
          <w:color w:val="231F20"/>
          <w:spacing w:val="-85"/>
        </w:rPr>
        <w:t>C</w:t>
      </w:r>
      <w:r>
        <w:rPr>
          <w:color w:val="231F20"/>
          <w:position w:val="4"/>
        </w:rPr>
        <w:t>´</w:t>
      </w:r>
      <w:r>
        <w:rPr>
          <w:color w:val="231F20"/>
          <w:spacing w:val="-19"/>
          <w:position w:val="4"/>
        </w:rPr>
        <w:t> </w:t>
      </w:r>
      <w:r>
        <w:rPr>
          <w:color w:val="231F20"/>
          <w:spacing w:val="1"/>
        </w:rPr>
        <w:t>wirlej-Soz</w:t>
      </w:r>
      <w:r>
        <w:rPr>
          <w:color w:val="231F20"/>
          <w:spacing w:val="2"/>
        </w:rPr>
        <w:t>a</w:t>
      </w:r>
      <w:r>
        <w:rPr>
          <w:color w:val="231F20"/>
          <w:spacing w:val="-84"/>
        </w:rPr>
        <w:t>n</w:t>
      </w:r>
      <w:r>
        <w:rPr>
          <w:color w:val="231F20"/>
          <w:spacing w:val="18"/>
        </w:rPr>
        <w:t>´</w:t>
      </w:r>
      <w:r>
        <w:rPr>
          <w:color w:val="231F20"/>
          <w:spacing w:val="1"/>
        </w:rPr>
        <w:t>sk</w:t>
      </w:r>
      <w:r>
        <w:rPr>
          <w:color w:val="231F20"/>
          <w:spacing w:val="3"/>
        </w:rPr>
        <w:t>a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A.B.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Soza</w:t>
      </w:r>
      <w:r>
        <w:rPr>
          <w:color w:val="231F20"/>
          <w:spacing w:val="-83"/>
        </w:rPr>
        <w:t>n</w:t>
      </w:r>
      <w:r>
        <w:rPr>
          <w:color w:val="231F20"/>
          <w:spacing w:val="19"/>
        </w:rPr>
        <w:t>´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k</w:t>
      </w:r>
      <w:r>
        <w:rPr>
          <w:color w:val="231F20"/>
          <w:spacing w:val="1"/>
        </w:rPr>
        <w:t>i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B.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W</w:t>
      </w:r>
      <w:r>
        <w:rPr>
          <w:color w:val="231F20"/>
          <w:spacing w:val="3"/>
        </w:rPr>
        <w:t>i</w:t>
      </w:r>
      <w:r>
        <w:rPr>
          <w:color w:val="231F20"/>
          <w:spacing w:val="-64"/>
        </w:rPr>
        <w:t>s</w:t>
      </w:r>
      <w:r>
        <w:rPr>
          <w:color w:val="231F20"/>
          <w:spacing w:val="2"/>
        </w:rPr>
        <w:t>´</w:t>
      </w:r>
      <w:r>
        <w:rPr>
          <w:color w:val="231F20"/>
          <w:spacing w:val="1"/>
        </w:rPr>
        <w:t>niowska-</w:t>
      </w:r>
    </w:p>
    <w:p>
      <w:pPr>
        <w:spacing w:line="249" w:lineRule="auto" w:before="10"/>
        <w:ind w:left="716" w:right="110" w:firstLine="0"/>
        <w:jc w:val="both"/>
        <w:rPr>
          <w:sz w:val="20"/>
        </w:rPr>
      </w:pPr>
      <w:r>
        <w:rPr>
          <w:color w:val="231F20"/>
          <w:spacing w:val="-3"/>
          <w:sz w:val="20"/>
        </w:rPr>
        <w:t>Szurlej</w:t>
      </w:r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A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Wilmowska-Pietruszy</w:t>
      </w:r>
      <w:r>
        <w:rPr>
          <w:color w:val="231F20"/>
          <w:spacing w:val="-88"/>
          <w:sz w:val="20"/>
        </w:rPr>
        <w:t>n</w:t>
      </w:r>
      <w:r>
        <w:rPr>
          <w:color w:val="231F20"/>
          <w:sz w:val="20"/>
        </w:rPr>
        <w:t>´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-3"/>
          <w:sz w:val="20"/>
        </w:rPr>
        <w:t>ska</w:t>
      </w:r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A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3"/>
          <w:sz w:val="20"/>
        </w:rPr>
        <w:t>2018. </w:t>
      </w:r>
      <w:r>
        <w:rPr>
          <w:color w:val="231F20"/>
          <w:sz w:val="20"/>
        </w:rPr>
        <w:t>An assessment of factors related to disability 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ADL and IADL in elderly inhabitants of rural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areas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south-eastern</w:t>
      </w:r>
      <w:r>
        <w:rPr>
          <w:color w:val="231F20"/>
          <w:spacing w:val="11"/>
          <w:sz w:val="20"/>
        </w:rPr>
        <w:t> </w:t>
      </w:r>
      <w:r>
        <w:rPr>
          <w:color w:val="231F20"/>
          <w:spacing w:val="9"/>
          <w:sz w:val="20"/>
        </w:rPr>
        <w:t>Poland.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pacing w:val="9"/>
          <w:sz w:val="20"/>
        </w:rPr>
        <w:t>Annals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pacing w:val="11"/>
          <w:sz w:val="20"/>
        </w:rPr>
        <w:t>of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pacing w:val="10"/>
          <w:sz w:val="20"/>
        </w:rPr>
        <w:t>Agricultural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Environmental </w:t>
      </w:r>
      <w:r>
        <w:rPr>
          <w:i/>
          <w:color w:val="231F20"/>
          <w:spacing w:val="9"/>
          <w:sz w:val="20"/>
        </w:rPr>
        <w:t>Medicine</w:t>
      </w:r>
      <w:r>
        <w:rPr>
          <w:color w:val="231F20"/>
          <w:spacing w:val="9"/>
          <w:sz w:val="20"/>
        </w:rPr>
        <w:t>,</w:t>
      </w:r>
      <w:r>
        <w:rPr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25(3)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504-511.</w:t>
      </w:r>
    </w:p>
    <w:p>
      <w:pPr>
        <w:pStyle w:val="BodyText"/>
        <w:spacing w:line="249" w:lineRule="auto" w:before="5"/>
        <w:ind w:left="716" w:right="115" w:hanging="329"/>
        <w:jc w:val="both"/>
      </w:pPr>
      <w:r>
        <w:rPr>
          <w:color w:val="231F20"/>
        </w:rPr>
        <w:t>Feng, Q., Zhen, Z., Gu, D., Wu, B., Duncan, P.W. &amp;</w:t>
      </w:r>
      <w:r>
        <w:rPr>
          <w:color w:val="231F20"/>
          <w:spacing w:val="1"/>
        </w:rPr>
        <w:t> </w:t>
      </w:r>
      <w:r>
        <w:rPr>
          <w:color w:val="231F20"/>
        </w:rPr>
        <w:t>Purser,</w:t>
      </w:r>
      <w:r>
        <w:rPr>
          <w:color w:val="231F20"/>
          <w:spacing w:val="1"/>
        </w:rPr>
        <w:t> </w:t>
      </w:r>
      <w:r>
        <w:rPr>
          <w:color w:val="231F20"/>
        </w:rPr>
        <w:t>J.L.</w:t>
      </w:r>
      <w:r>
        <w:rPr>
          <w:color w:val="231F20"/>
          <w:spacing w:val="1"/>
        </w:rPr>
        <w:t> </w:t>
      </w:r>
      <w:r>
        <w:rPr>
          <w:color w:val="231F20"/>
        </w:rPr>
        <w:t>2013.</w:t>
      </w:r>
      <w:r>
        <w:rPr>
          <w:color w:val="231F20"/>
          <w:spacing w:val="1"/>
        </w:rPr>
        <w:t> </w:t>
      </w:r>
      <w:r>
        <w:rPr>
          <w:color w:val="231F20"/>
        </w:rPr>
        <w:t>Trends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ADL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IADL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community-dwelling</w:t>
      </w:r>
      <w:r>
        <w:rPr>
          <w:color w:val="231F20"/>
          <w:spacing w:val="50"/>
        </w:rPr>
        <w:t> </w:t>
      </w:r>
      <w:r>
        <w:rPr>
          <w:color w:val="231F20"/>
        </w:rPr>
        <w:t>older</w:t>
      </w:r>
      <w:r>
        <w:rPr>
          <w:color w:val="231F20"/>
          <w:spacing w:val="50"/>
        </w:rPr>
        <w:t> </w:t>
      </w:r>
      <w:r>
        <w:rPr>
          <w:color w:val="231F20"/>
        </w:rPr>
        <w:t>adults</w:t>
      </w:r>
      <w:r>
        <w:rPr>
          <w:color w:val="231F20"/>
          <w:spacing w:val="1"/>
        </w:rPr>
        <w:t> </w:t>
      </w:r>
      <w:r>
        <w:rPr>
          <w:color w:val="231F20"/>
        </w:rPr>
        <w:t>in Shanghai, China, 1998–2008. </w:t>
      </w:r>
      <w:r>
        <w:rPr>
          <w:i/>
          <w:color w:val="231F20"/>
        </w:rPr>
        <w:t>The Journals 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Gerontology: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Series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B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68(3)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476-485.</w:t>
      </w:r>
    </w:p>
    <w:p>
      <w:pPr>
        <w:pStyle w:val="BodyText"/>
        <w:spacing w:line="249" w:lineRule="auto" w:before="4"/>
        <w:ind w:left="716" w:right="109" w:hanging="329"/>
        <w:jc w:val="both"/>
      </w:pPr>
      <w:r>
        <w:rPr>
          <w:color w:val="231F20"/>
        </w:rPr>
        <w:t>Francisco, P.M.S.B., Marques, P.d.P., Borim, F.S.A.,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Torres,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S.F.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Neri,</w:t>
      </w:r>
      <w:r>
        <w:rPr>
          <w:color w:val="231F20"/>
          <w:spacing w:val="-11"/>
        </w:rPr>
        <w:t> </w:t>
      </w:r>
      <w:r>
        <w:rPr>
          <w:color w:val="231F20"/>
        </w:rPr>
        <w:t>A.L.</w:t>
      </w:r>
      <w:r>
        <w:rPr>
          <w:color w:val="231F20"/>
          <w:spacing w:val="-11"/>
        </w:rPr>
        <w:t> </w:t>
      </w:r>
      <w:r>
        <w:rPr>
          <w:color w:val="231F20"/>
        </w:rPr>
        <w:t>2018.</w:t>
      </w:r>
      <w:r>
        <w:rPr>
          <w:color w:val="231F20"/>
          <w:spacing w:val="-11"/>
        </w:rPr>
        <w:t> </w:t>
      </w:r>
      <w:r>
        <w:rPr>
          <w:color w:val="231F20"/>
        </w:rPr>
        <w:t>Disability</w:t>
      </w:r>
      <w:r>
        <w:rPr>
          <w:color w:val="231F20"/>
          <w:spacing w:val="-11"/>
        </w:rPr>
        <w:t> </w:t>
      </w:r>
      <w:r>
        <w:rPr>
          <w:color w:val="231F20"/>
        </w:rPr>
        <w:t>relating</w:t>
      </w:r>
      <w:r>
        <w:rPr>
          <w:color w:val="231F20"/>
          <w:spacing w:val="-48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instrumental</w:t>
      </w:r>
      <w:r>
        <w:rPr>
          <w:color w:val="231F20"/>
          <w:spacing w:val="51"/>
        </w:rPr>
        <w:t> </w:t>
      </w:r>
      <w:r>
        <w:rPr>
          <w:color w:val="231F20"/>
        </w:rPr>
        <w:t>activities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daily   living   in</w:t>
      </w:r>
      <w:r>
        <w:rPr>
          <w:color w:val="231F20"/>
          <w:spacing w:val="-4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rheumatic</w:t>
      </w:r>
      <w:r>
        <w:rPr>
          <w:color w:val="231F20"/>
          <w:spacing w:val="1"/>
        </w:rPr>
        <w:t> </w:t>
      </w:r>
      <w:r>
        <w:rPr>
          <w:color w:val="231F20"/>
        </w:rPr>
        <w:t>diseases.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Revista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Brasileira de Geriatria e Gerontologia</w:t>
      </w:r>
      <w:r>
        <w:rPr>
          <w:color w:val="231F20"/>
        </w:rPr>
        <w:t>, </w:t>
      </w:r>
      <w:r>
        <w:rPr>
          <w:b/>
          <w:color w:val="231F20"/>
        </w:rPr>
        <w:t>21(5)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570-578.</w:t>
      </w:r>
    </w:p>
    <w:p>
      <w:pPr>
        <w:pStyle w:val="BodyText"/>
        <w:spacing w:line="249" w:lineRule="auto" w:before="5"/>
        <w:ind w:left="728" w:right="111" w:hanging="341"/>
        <w:jc w:val="both"/>
      </w:pPr>
      <w:r>
        <w:rPr>
          <w:color w:val="231F20"/>
        </w:rPr>
        <w:t>Graciani,</w:t>
      </w:r>
      <w:r>
        <w:rPr>
          <w:color w:val="231F20"/>
          <w:spacing w:val="1"/>
        </w:rPr>
        <w:t> </w:t>
      </w:r>
      <w:r>
        <w:rPr>
          <w:color w:val="231F20"/>
        </w:rPr>
        <w:t>A.,</w:t>
      </w:r>
      <w:r>
        <w:rPr>
          <w:color w:val="231F20"/>
          <w:spacing w:val="1"/>
        </w:rPr>
        <w:t> </w:t>
      </w:r>
      <w:r>
        <w:rPr>
          <w:color w:val="231F20"/>
        </w:rPr>
        <w:t>Banegas,</w:t>
      </w:r>
      <w:r>
        <w:rPr>
          <w:color w:val="231F20"/>
          <w:spacing w:val="1"/>
        </w:rPr>
        <w:t> </w:t>
      </w:r>
      <w:r>
        <w:rPr>
          <w:color w:val="231F20"/>
        </w:rPr>
        <w:t>J.R.,</w:t>
      </w:r>
      <w:r>
        <w:rPr>
          <w:color w:val="231F20"/>
          <w:spacing w:val="1"/>
        </w:rPr>
        <w:t> </w:t>
      </w:r>
      <w:r>
        <w:rPr>
          <w:color w:val="231F20"/>
        </w:rPr>
        <w:t>López-Garcìa,</w:t>
      </w:r>
      <w:r>
        <w:rPr>
          <w:color w:val="231F20"/>
          <w:spacing w:val="1"/>
        </w:rPr>
        <w:t> </w:t>
      </w:r>
      <w:r>
        <w:rPr>
          <w:color w:val="231F20"/>
        </w:rPr>
        <w:t>E.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Rodrìguez-Artalejo,</w:t>
      </w:r>
      <w:r>
        <w:rPr>
          <w:color w:val="231F20"/>
          <w:spacing w:val="1"/>
        </w:rPr>
        <w:t> </w:t>
      </w:r>
      <w:r>
        <w:rPr>
          <w:color w:val="231F20"/>
        </w:rPr>
        <w:t>F.</w:t>
      </w:r>
      <w:r>
        <w:rPr>
          <w:color w:val="231F20"/>
          <w:spacing w:val="1"/>
        </w:rPr>
        <w:t> </w:t>
      </w:r>
      <w:r>
        <w:rPr>
          <w:color w:val="231F20"/>
        </w:rPr>
        <w:t>2004.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health-</w:t>
      </w:r>
      <w:r>
        <w:rPr>
          <w:color w:val="231F20"/>
          <w:spacing w:val="-47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Spain: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population-based</w:t>
      </w:r>
      <w:r>
        <w:rPr>
          <w:color w:val="231F20"/>
          <w:spacing w:val="36"/>
        </w:rPr>
        <w:t> </w:t>
      </w:r>
      <w:r>
        <w:rPr>
          <w:color w:val="231F20"/>
        </w:rPr>
        <w:t>study.</w:t>
      </w:r>
      <w:r>
        <w:rPr>
          <w:color w:val="231F20"/>
          <w:spacing w:val="39"/>
        </w:rPr>
        <w:t> </w:t>
      </w:r>
      <w:r>
        <w:rPr>
          <w:i/>
          <w:color w:val="231F20"/>
        </w:rPr>
        <w:t>Maturitas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b/>
          <w:color w:val="231F20"/>
        </w:rPr>
        <w:t>48(4)</w:t>
      </w:r>
      <w:r>
        <w:rPr>
          <w:color w:val="231F20"/>
        </w:rPr>
        <w:t>:</w:t>
      </w:r>
      <w:r>
        <w:rPr>
          <w:color w:val="231F20"/>
          <w:spacing w:val="37"/>
        </w:rPr>
        <w:t> </w:t>
      </w:r>
      <w:r>
        <w:rPr>
          <w:color w:val="231F20"/>
        </w:rPr>
        <w:t>381-</w:t>
      </w:r>
    </w:p>
    <w:p>
      <w:pPr>
        <w:pStyle w:val="BodyText"/>
        <w:spacing w:before="4"/>
        <w:ind w:left="728"/>
      </w:pPr>
      <w:r>
        <w:rPr>
          <w:color w:val="231F20"/>
        </w:rPr>
        <w:t>392.</w:t>
      </w:r>
    </w:p>
    <w:p>
      <w:pPr>
        <w:spacing w:after="0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1" w:space="127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443" w:right="49" w:hanging="340"/>
        <w:jc w:val="both"/>
      </w:pPr>
      <w:r>
        <w:rPr>
          <w:color w:val="231F20"/>
        </w:rPr>
        <w:t>Institute for Public Health. 2018. National Health &amp;</w:t>
      </w:r>
      <w:r>
        <w:rPr>
          <w:color w:val="231F20"/>
          <w:spacing w:val="1"/>
        </w:rPr>
        <w:t> </w:t>
      </w:r>
      <w:r>
        <w:rPr>
          <w:color w:val="231F20"/>
        </w:rPr>
        <w:t>Morbidity Survey 2018 : Elderly Health. 1st Ed.</w:t>
      </w:r>
      <w:r>
        <w:rPr>
          <w:color w:val="231F20"/>
          <w:spacing w:val="1"/>
        </w:rPr>
        <w:t> </w:t>
      </w:r>
      <w:r>
        <w:rPr>
          <w:color w:val="231F20"/>
        </w:rPr>
        <w:t>Vol. 2. Ministry of Health Malaysia, Selangor.</w:t>
      </w:r>
    </w:p>
    <w:p>
      <w:pPr>
        <w:pStyle w:val="BodyText"/>
        <w:spacing w:line="249" w:lineRule="auto" w:before="3"/>
        <w:ind w:left="443" w:right="38" w:hanging="340"/>
        <w:jc w:val="both"/>
      </w:pPr>
      <w:r>
        <w:rPr>
          <w:color w:val="231F20"/>
        </w:rPr>
        <w:t>Ismail, N., Hairi, F. &amp; Choo, W.Y. 2016. Pattern and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Factors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Functional Limitation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Physical Disability Among Community-Dwelling</w:t>
      </w:r>
      <w:r>
        <w:rPr>
          <w:color w:val="231F20"/>
          <w:spacing w:val="-47"/>
        </w:rPr>
        <w:t> </w:t>
      </w:r>
      <w:r>
        <w:rPr>
          <w:color w:val="231F20"/>
        </w:rPr>
        <w:t>Elderly in Kuala Pilah, Malaysia: A 12-Month</w:t>
      </w:r>
      <w:r>
        <w:rPr>
          <w:color w:val="231F20"/>
          <w:spacing w:val="1"/>
        </w:rPr>
        <w:t> </w:t>
      </w:r>
      <w:r>
        <w:rPr>
          <w:color w:val="231F20"/>
        </w:rPr>
        <w:t>Follow-Up</w:t>
      </w:r>
      <w:r>
        <w:rPr>
          <w:color w:val="231F20"/>
          <w:spacing w:val="1"/>
        </w:rPr>
        <w:t> </w:t>
      </w:r>
      <w:r>
        <w:rPr>
          <w:color w:val="231F20"/>
        </w:rPr>
        <w:t>Study.</w:t>
      </w:r>
      <w:r>
        <w:rPr>
          <w:color w:val="231F20"/>
          <w:spacing w:val="1"/>
        </w:rPr>
        <w:t> </w:t>
      </w:r>
      <w:r>
        <w:rPr>
          <w:color w:val="231F20"/>
        </w:rPr>
        <w:t>University</w:t>
      </w:r>
      <w:r>
        <w:rPr>
          <w:color w:val="231F20"/>
          <w:spacing w:val="1"/>
        </w:rPr>
        <w:t> </w:t>
      </w:r>
      <w:r>
        <w:rPr>
          <w:color w:val="231F20"/>
        </w:rPr>
        <w:t>Malaya,</w:t>
      </w:r>
      <w:r>
        <w:rPr>
          <w:color w:val="231F20"/>
          <w:spacing w:val="1"/>
        </w:rPr>
        <w:t> </w:t>
      </w:r>
      <w:r>
        <w:rPr>
          <w:color w:val="231F20"/>
        </w:rPr>
        <w:t>Kuala</w:t>
      </w:r>
      <w:r>
        <w:rPr>
          <w:color w:val="231F20"/>
          <w:spacing w:val="1"/>
        </w:rPr>
        <w:t> </w:t>
      </w:r>
      <w:r>
        <w:rPr>
          <w:color w:val="231F20"/>
        </w:rPr>
        <w:t>Lumpur.</w:t>
      </w:r>
    </w:p>
    <w:p>
      <w:pPr>
        <w:pStyle w:val="BodyText"/>
        <w:spacing w:line="249" w:lineRule="auto" w:before="4"/>
        <w:ind w:left="432" w:right="41" w:hanging="329"/>
        <w:jc w:val="both"/>
      </w:pPr>
      <w:r>
        <w:rPr>
          <w:color w:val="231F20"/>
        </w:rPr>
        <w:t>Jyrkkä,</w:t>
      </w:r>
      <w:r>
        <w:rPr>
          <w:color w:val="231F20"/>
          <w:spacing w:val="33"/>
        </w:rPr>
        <w:t> </w:t>
      </w:r>
      <w:r>
        <w:rPr>
          <w:color w:val="231F20"/>
        </w:rPr>
        <w:t>J.,</w:t>
      </w:r>
      <w:r>
        <w:rPr>
          <w:color w:val="231F20"/>
          <w:spacing w:val="33"/>
        </w:rPr>
        <w:t> </w:t>
      </w:r>
      <w:r>
        <w:rPr>
          <w:color w:val="231F20"/>
        </w:rPr>
        <w:t>Enlund,</w:t>
      </w:r>
      <w:r>
        <w:rPr>
          <w:color w:val="231F20"/>
          <w:spacing w:val="33"/>
        </w:rPr>
        <w:t> </w:t>
      </w:r>
      <w:r>
        <w:rPr>
          <w:color w:val="231F20"/>
        </w:rPr>
        <w:t>H.,</w:t>
      </w:r>
      <w:r>
        <w:rPr>
          <w:color w:val="231F20"/>
          <w:spacing w:val="33"/>
        </w:rPr>
        <w:t> </w:t>
      </w:r>
      <w:r>
        <w:rPr>
          <w:color w:val="231F20"/>
        </w:rPr>
        <w:t>Lavikainen,</w:t>
      </w:r>
      <w:r>
        <w:rPr>
          <w:color w:val="231F20"/>
          <w:spacing w:val="33"/>
        </w:rPr>
        <w:t> </w:t>
      </w:r>
      <w:r>
        <w:rPr>
          <w:color w:val="231F20"/>
        </w:rPr>
        <w:t>P.,</w:t>
      </w:r>
      <w:r>
        <w:rPr>
          <w:color w:val="231F20"/>
          <w:spacing w:val="33"/>
        </w:rPr>
        <w:t> </w:t>
      </w:r>
      <w:r>
        <w:rPr>
          <w:color w:val="231F20"/>
        </w:rPr>
        <w:t>Sulkava,</w:t>
      </w:r>
      <w:r>
        <w:rPr>
          <w:color w:val="231F20"/>
          <w:spacing w:val="33"/>
        </w:rPr>
        <w:t> </w:t>
      </w:r>
      <w:r>
        <w:rPr>
          <w:color w:val="231F20"/>
        </w:rPr>
        <w:t>R.</w:t>
      </w:r>
      <w:r>
        <w:rPr>
          <w:color w:val="231F20"/>
          <w:spacing w:val="-47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Hartikainen,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1"/>
        </w:rPr>
        <w:t> </w:t>
      </w:r>
      <w:r>
        <w:rPr>
          <w:color w:val="231F20"/>
        </w:rPr>
        <w:t>2011.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poly-</w:t>
      </w:r>
      <w:r>
        <w:rPr>
          <w:color w:val="231F20"/>
          <w:spacing w:val="1"/>
        </w:rPr>
        <w:t> </w:t>
      </w:r>
      <w:r>
        <w:rPr>
          <w:color w:val="231F20"/>
        </w:rPr>
        <w:t>pharmacy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nutritional</w:t>
      </w:r>
      <w:r>
        <w:rPr>
          <w:color w:val="231F20"/>
          <w:spacing w:val="1"/>
        </w:rPr>
        <w:t> </w:t>
      </w:r>
      <w:r>
        <w:rPr>
          <w:color w:val="231F20"/>
        </w:rPr>
        <w:t>status,</w:t>
      </w:r>
      <w:r>
        <w:rPr>
          <w:color w:val="231F20"/>
          <w:spacing w:val="1"/>
        </w:rPr>
        <w:t> </w:t>
      </w:r>
      <w:r>
        <w:rPr>
          <w:color w:val="231F20"/>
        </w:rPr>
        <w:t>functional</w:t>
      </w:r>
      <w:r>
        <w:rPr>
          <w:color w:val="231F20"/>
          <w:spacing w:val="1"/>
        </w:rPr>
        <w:t> </w:t>
      </w:r>
      <w:r>
        <w:rPr>
          <w:color w:val="231F20"/>
        </w:rPr>
        <w:t>ability and cognitive capacity over a three-year</w:t>
      </w:r>
      <w:r>
        <w:rPr>
          <w:color w:val="231F20"/>
          <w:spacing w:val="1"/>
        </w:rPr>
        <w:t> </w:t>
      </w:r>
      <w:r>
        <w:rPr>
          <w:color w:val="231F20"/>
        </w:rPr>
        <w:t>period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population.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Pharmaco-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epidemiology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Drug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Safety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20(5)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514-522.</w:t>
      </w:r>
    </w:p>
    <w:p>
      <w:pPr>
        <w:pStyle w:val="BodyText"/>
        <w:spacing w:line="249" w:lineRule="auto" w:before="5"/>
        <w:ind w:left="443" w:right="44" w:hanging="340"/>
        <w:jc w:val="both"/>
      </w:pPr>
      <w:r>
        <w:rPr>
          <w:color w:val="231F20"/>
        </w:rPr>
        <w:t>Kadar, M., Ibrahim, S., Razaob, N.A., Chai, S.C. &amp;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Harun,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2018.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Validity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reliability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Malay</w:t>
      </w:r>
      <w:r>
        <w:rPr>
          <w:color w:val="231F20"/>
          <w:spacing w:val="-48"/>
        </w:rPr>
        <w:t> </w:t>
      </w:r>
      <w:r>
        <w:rPr>
          <w:color w:val="231F20"/>
        </w:rPr>
        <w:t>version of the Lawton instrumental activities 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scale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Malay</w:t>
      </w:r>
      <w:r>
        <w:rPr>
          <w:color w:val="231F20"/>
          <w:spacing w:val="1"/>
        </w:rPr>
        <w:t> </w:t>
      </w:r>
      <w:r>
        <w:rPr>
          <w:color w:val="231F20"/>
        </w:rPr>
        <w:t>speaking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Malaysia.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Australian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Occupational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Therapy</w:t>
      </w:r>
      <w:r>
        <w:rPr>
          <w:i/>
          <w:color w:val="231F20"/>
          <w:spacing w:val="2"/>
        </w:rPr>
        <w:t> </w:t>
      </w:r>
      <w:r>
        <w:rPr>
          <w:i/>
          <w:color w:val="231F20"/>
        </w:rPr>
        <w:t>Journal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65(1)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63-68.</w:t>
      </w:r>
    </w:p>
    <w:p>
      <w:pPr>
        <w:pStyle w:val="BodyText"/>
        <w:spacing w:line="249" w:lineRule="auto" w:before="5"/>
        <w:ind w:left="443" w:right="42" w:hanging="340"/>
        <w:jc w:val="both"/>
      </w:pPr>
      <w:r>
        <w:rPr>
          <w:color w:val="231F20"/>
        </w:rPr>
        <w:t>Karlamangla,</w:t>
      </w:r>
      <w:r>
        <w:rPr>
          <w:color w:val="231F20"/>
          <w:spacing w:val="1"/>
        </w:rPr>
        <w:t> </w:t>
      </w:r>
      <w:r>
        <w:rPr>
          <w:color w:val="231F20"/>
        </w:rPr>
        <w:t>A.S.,</w:t>
      </w:r>
      <w:r>
        <w:rPr>
          <w:color w:val="231F20"/>
          <w:spacing w:val="1"/>
        </w:rPr>
        <w:t> </w:t>
      </w:r>
      <w:r>
        <w:rPr>
          <w:color w:val="231F20"/>
        </w:rPr>
        <w:t>Sarkisian,</w:t>
      </w:r>
      <w:r>
        <w:rPr>
          <w:color w:val="231F20"/>
          <w:spacing w:val="1"/>
        </w:rPr>
        <w:t> </w:t>
      </w:r>
      <w:r>
        <w:rPr>
          <w:color w:val="231F20"/>
        </w:rPr>
        <w:t>C.A.,</w:t>
      </w:r>
      <w:r>
        <w:rPr>
          <w:color w:val="231F20"/>
          <w:spacing w:val="1"/>
        </w:rPr>
        <w:t> </w:t>
      </w:r>
      <w:r>
        <w:rPr>
          <w:color w:val="231F20"/>
        </w:rPr>
        <w:t>Kado,</w:t>
      </w:r>
      <w:r>
        <w:rPr>
          <w:color w:val="231F20"/>
          <w:spacing w:val="1"/>
        </w:rPr>
        <w:t> </w:t>
      </w:r>
      <w:r>
        <w:rPr>
          <w:color w:val="231F20"/>
        </w:rPr>
        <w:t>D.M.,</w:t>
      </w:r>
      <w:r>
        <w:rPr>
          <w:color w:val="231F20"/>
          <w:spacing w:val="1"/>
        </w:rPr>
        <w:t> </w:t>
      </w:r>
      <w:r>
        <w:rPr>
          <w:color w:val="231F20"/>
        </w:rPr>
        <w:t>Dedes, H., Liao, D.H., Kim, S., Reuben, B.D.,</w:t>
      </w:r>
      <w:r>
        <w:rPr>
          <w:color w:val="231F20"/>
          <w:spacing w:val="1"/>
        </w:rPr>
        <w:t> </w:t>
      </w:r>
      <w:r>
        <w:rPr>
          <w:color w:val="231F20"/>
        </w:rPr>
        <w:t>Greendale, G.A. &amp; Moore, A.A. 2009. Light to</w:t>
      </w:r>
      <w:r>
        <w:rPr>
          <w:color w:val="231F20"/>
          <w:spacing w:val="1"/>
        </w:rPr>
        <w:t> </w:t>
      </w:r>
      <w:r>
        <w:rPr>
          <w:color w:val="231F20"/>
        </w:rPr>
        <w:t>moderate</w:t>
      </w:r>
      <w:r>
        <w:rPr>
          <w:color w:val="231F20"/>
          <w:spacing w:val="1"/>
        </w:rPr>
        <w:t> </w:t>
      </w:r>
      <w:r>
        <w:rPr>
          <w:color w:val="231F20"/>
        </w:rPr>
        <w:t>alcohol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disability:</w:t>
      </w:r>
      <w:r>
        <w:rPr>
          <w:color w:val="231F20"/>
          <w:spacing w:val="1"/>
        </w:rPr>
        <w:t> </w:t>
      </w:r>
      <w:r>
        <w:rPr>
          <w:color w:val="231F20"/>
        </w:rPr>
        <w:t>variable</w:t>
      </w:r>
      <w:r>
        <w:rPr>
          <w:color w:val="231F20"/>
          <w:spacing w:val="1"/>
        </w:rPr>
        <w:t> </w:t>
      </w:r>
      <w:r>
        <w:rPr>
          <w:color w:val="231F20"/>
        </w:rPr>
        <w:t>benefits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status.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American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Epidemiology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169(1)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96-104.</w:t>
      </w:r>
    </w:p>
    <w:p>
      <w:pPr>
        <w:pStyle w:val="BodyText"/>
        <w:spacing w:line="249" w:lineRule="auto" w:before="5"/>
        <w:ind w:left="443" w:right="43" w:hanging="340"/>
        <w:jc w:val="both"/>
      </w:pPr>
      <w:r>
        <w:rPr>
          <w:color w:val="231F20"/>
        </w:rPr>
        <w:t>Knesebeck,</w:t>
      </w:r>
      <w:r>
        <w:rPr>
          <w:color w:val="231F20"/>
          <w:spacing w:val="-7"/>
        </w:rPr>
        <w:t> </w:t>
      </w:r>
      <w:r>
        <w:rPr>
          <w:color w:val="231F20"/>
        </w:rPr>
        <w:t>O.v.d.,</w:t>
      </w:r>
      <w:r>
        <w:rPr>
          <w:color w:val="231F20"/>
          <w:spacing w:val="-6"/>
        </w:rPr>
        <w:t> </w:t>
      </w:r>
      <w:r>
        <w:rPr>
          <w:color w:val="231F20"/>
        </w:rPr>
        <w:t>Lüschen,</w:t>
      </w:r>
      <w:r>
        <w:rPr>
          <w:color w:val="231F20"/>
          <w:spacing w:val="-6"/>
        </w:rPr>
        <w:t> </w:t>
      </w:r>
      <w:r>
        <w:rPr>
          <w:color w:val="231F20"/>
        </w:rPr>
        <w:t>G.,</w:t>
      </w:r>
      <w:r>
        <w:rPr>
          <w:color w:val="231F20"/>
          <w:spacing w:val="-7"/>
        </w:rPr>
        <w:t> </w:t>
      </w:r>
      <w:r>
        <w:rPr>
          <w:color w:val="231F20"/>
        </w:rPr>
        <w:t>Cockerham,</w:t>
      </w:r>
      <w:r>
        <w:rPr>
          <w:color w:val="231F20"/>
          <w:spacing w:val="-6"/>
        </w:rPr>
        <w:t> </w:t>
      </w:r>
      <w:r>
        <w:rPr>
          <w:color w:val="231F20"/>
        </w:rPr>
        <w:t>W.C.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48"/>
        </w:rPr>
        <w:t> </w:t>
      </w:r>
      <w:r>
        <w:rPr>
          <w:color w:val="231F20"/>
        </w:rPr>
        <w:t>Siegrist,</w:t>
      </w:r>
      <w:r>
        <w:rPr>
          <w:color w:val="231F20"/>
          <w:spacing w:val="1"/>
        </w:rPr>
        <w:t> </w:t>
      </w:r>
      <w:r>
        <w:rPr>
          <w:color w:val="231F20"/>
        </w:rPr>
        <w:t>J.</w:t>
      </w:r>
      <w:r>
        <w:rPr>
          <w:color w:val="231F20"/>
          <w:spacing w:val="1"/>
        </w:rPr>
        <w:t> </w:t>
      </w:r>
      <w:r>
        <w:rPr>
          <w:color w:val="231F20"/>
        </w:rPr>
        <w:t>2003.</w:t>
      </w:r>
      <w:r>
        <w:rPr>
          <w:color w:val="231F20"/>
          <w:spacing w:val="1"/>
        </w:rPr>
        <w:t> </w:t>
      </w:r>
      <w:r>
        <w:rPr>
          <w:color w:val="231F20"/>
        </w:rPr>
        <w:t>Socioeconomic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health among the aged in the United States and</w:t>
      </w:r>
      <w:r>
        <w:rPr>
          <w:color w:val="231F20"/>
          <w:spacing w:val="1"/>
        </w:rPr>
        <w:t> </w:t>
      </w:r>
      <w:r>
        <w:rPr>
          <w:color w:val="231F20"/>
        </w:rPr>
        <w:t>Germany: A comparative cross-sectional study.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Social</w:t>
      </w:r>
      <w:r>
        <w:rPr>
          <w:i/>
          <w:color w:val="231F20"/>
          <w:spacing w:val="5"/>
        </w:rPr>
        <w:t> </w:t>
      </w:r>
      <w:r>
        <w:rPr>
          <w:i/>
          <w:color w:val="231F20"/>
        </w:rPr>
        <w:t>Science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Medicine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b/>
          <w:color w:val="231F20"/>
        </w:rPr>
        <w:t>57(9)</w:t>
      </w:r>
      <w:r>
        <w:rPr>
          <w:color w:val="231F20"/>
        </w:rPr>
        <w:t>:</w:t>
      </w:r>
      <w:r>
        <w:rPr>
          <w:color w:val="231F20"/>
          <w:spacing w:val="6"/>
        </w:rPr>
        <w:t> </w:t>
      </w:r>
      <w:r>
        <w:rPr>
          <w:color w:val="231F20"/>
        </w:rPr>
        <w:t>1643-1652.</w:t>
      </w:r>
    </w:p>
    <w:p>
      <w:pPr>
        <w:pStyle w:val="BodyText"/>
        <w:spacing w:line="249" w:lineRule="auto" w:before="4"/>
        <w:ind w:left="443" w:right="39" w:hanging="340"/>
        <w:jc w:val="both"/>
      </w:pPr>
      <w:r>
        <w:rPr>
          <w:color w:val="231F20"/>
        </w:rPr>
        <w:t>Koenig,</w:t>
      </w:r>
      <w:r>
        <w:rPr>
          <w:color w:val="231F20"/>
          <w:spacing w:val="-8"/>
        </w:rPr>
        <w:t> </w:t>
      </w:r>
      <w:r>
        <w:rPr>
          <w:color w:val="231F20"/>
        </w:rPr>
        <w:t>H.G.,</w:t>
      </w:r>
      <w:r>
        <w:rPr>
          <w:color w:val="231F20"/>
          <w:spacing w:val="-8"/>
        </w:rPr>
        <w:t> </w:t>
      </w:r>
      <w:r>
        <w:rPr>
          <w:color w:val="231F20"/>
        </w:rPr>
        <w:t>Westlund,</w:t>
      </w:r>
      <w:r>
        <w:rPr>
          <w:color w:val="231F20"/>
          <w:spacing w:val="-8"/>
        </w:rPr>
        <w:t> </w:t>
      </w:r>
      <w:r>
        <w:rPr>
          <w:color w:val="231F20"/>
        </w:rPr>
        <w:t>R.E.,</w:t>
      </w:r>
      <w:r>
        <w:rPr>
          <w:color w:val="231F20"/>
          <w:spacing w:val="-8"/>
        </w:rPr>
        <w:t> </w:t>
      </w:r>
      <w:r>
        <w:rPr>
          <w:color w:val="231F20"/>
        </w:rPr>
        <w:t>George,</w:t>
      </w:r>
      <w:r>
        <w:rPr>
          <w:color w:val="231F20"/>
          <w:spacing w:val="-8"/>
        </w:rPr>
        <w:t> </w:t>
      </w:r>
      <w:r>
        <w:rPr>
          <w:color w:val="231F20"/>
        </w:rPr>
        <w:t>L.K.,</w:t>
      </w:r>
      <w:r>
        <w:rPr>
          <w:color w:val="231F20"/>
          <w:spacing w:val="-8"/>
        </w:rPr>
        <w:t> </w:t>
      </w:r>
      <w:r>
        <w:rPr>
          <w:color w:val="231F20"/>
        </w:rPr>
        <w:t>Hughes,</w:t>
      </w:r>
      <w:r>
        <w:rPr>
          <w:color w:val="231F20"/>
          <w:spacing w:val="-48"/>
        </w:rPr>
        <w:t> </w:t>
      </w:r>
      <w:r>
        <w:rPr>
          <w:color w:val="231F20"/>
        </w:rPr>
        <w:t>D.C., Blazer, D.G. &amp; Hybels, C. 1993. Abbre-</w:t>
      </w:r>
      <w:r>
        <w:rPr>
          <w:color w:val="231F20"/>
          <w:spacing w:val="1"/>
        </w:rPr>
        <w:t> </w:t>
      </w:r>
      <w:r>
        <w:rPr>
          <w:color w:val="231F20"/>
        </w:rPr>
        <w:t>viating the Duke Social Support Index for use 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chronically</w:t>
      </w:r>
      <w:r>
        <w:rPr>
          <w:color w:val="231F20"/>
          <w:spacing w:val="10"/>
        </w:rPr>
        <w:t> </w:t>
      </w:r>
      <w:r>
        <w:rPr>
          <w:color w:val="231F20"/>
        </w:rPr>
        <w:t>ill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individuals.</w:t>
      </w:r>
      <w:r>
        <w:rPr>
          <w:color w:val="231F20"/>
          <w:spacing w:val="10"/>
        </w:rPr>
        <w:t> </w:t>
      </w:r>
      <w:r>
        <w:rPr>
          <w:i/>
          <w:color w:val="231F20"/>
        </w:rPr>
        <w:t>Psycho-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somatics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34(1)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61-69.</w:t>
      </w:r>
    </w:p>
    <w:p>
      <w:pPr>
        <w:spacing w:line="249" w:lineRule="auto" w:before="4"/>
        <w:ind w:left="443" w:right="47" w:hanging="340"/>
        <w:jc w:val="both"/>
        <w:rPr>
          <w:sz w:val="20"/>
        </w:rPr>
      </w:pPr>
      <w:r>
        <w:rPr>
          <w:color w:val="231F20"/>
          <w:sz w:val="20"/>
        </w:rPr>
        <w:t>Kong, D., Solomon, P. &amp; Dong, X. 2019. Depressive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symptoms and onset of functional disability over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2 years: A prospective cohort study. </w:t>
      </w:r>
      <w:r>
        <w:rPr>
          <w:i/>
          <w:color w:val="231F20"/>
          <w:sz w:val="20"/>
        </w:rPr>
        <w:t>Journal 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 American Geriatrics Society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67(S3)</w:t>
      </w:r>
      <w:r>
        <w:rPr>
          <w:color w:val="231F20"/>
          <w:sz w:val="20"/>
        </w:rPr>
        <w:t>: S538-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S544.</w:t>
      </w:r>
    </w:p>
    <w:p>
      <w:pPr>
        <w:spacing w:line="249" w:lineRule="auto" w:before="5"/>
        <w:ind w:left="443" w:right="44" w:hanging="340"/>
        <w:jc w:val="both"/>
        <w:rPr>
          <w:sz w:val="20"/>
        </w:rPr>
      </w:pPr>
      <w:r>
        <w:rPr>
          <w:color w:val="231F20"/>
          <w:sz w:val="20"/>
        </w:rPr>
        <w:t>Kua,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E.H.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1993.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Dementia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elderly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Malays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preliminary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findings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community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survey.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Singapore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Medical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color w:val="231F20"/>
          <w:sz w:val="20"/>
        </w:rPr>
        <w:t>,</w:t>
      </w:r>
      <w:r>
        <w:rPr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34(1)</w:t>
      </w:r>
      <w:r>
        <w:rPr>
          <w:color w:val="231F20"/>
          <w:sz w:val="20"/>
        </w:rPr>
        <w:t>: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26-28.</w:t>
      </w:r>
    </w:p>
    <w:p>
      <w:pPr>
        <w:spacing w:line="249" w:lineRule="auto" w:before="2"/>
        <w:ind w:left="443" w:right="38" w:hanging="340"/>
        <w:jc w:val="both"/>
        <w:rPr>
          <w:sz w:val="20"/>
        </w:rPr>
      </w:pPr>
      <w:r>
        <w:rPr>
          <w:color w:val="231F20"/>
          <w:sz w:val="20"/>
        </w:rPr>
        <w:t>Kua,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E.H.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Ko,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S.M.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1992.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questionnaire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screen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cognitive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impairment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among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elderly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people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developing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countries.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Acta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Psychiatrica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Scandinavica</w:t>
      </w:r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85(2)</w:t>
      </w:r>
      <w:r>
        <w:rPr>
          <w:color w:val="231F20"/>
          <w:sz w:val="20"/>
        </w:rPr>
        <w:t>: 119-122.</w:t>
      </w:r>
    </w:p>
    <w:p>
      <w:pPr>
        <w:pStyle w:val="BodyText"/>
        <w:spacing w:line="249" w:lineRule="auto" w:before="3"/>
        <w:ind w:left="433" w:right="38" w:hanging="329"/>
        <w:jc w:val="both"/>
      </w:pPr>
      <w:r>
        <w:rPr>
          <w:color w:val="231F20"/>
          <w:spacing w:val="9"/>
        </w:rPr>
        <w:t>Lawton,</w:t>
      </w:r>
      <w:r>
        <w:rPr>
          <w:color w:val="231F20"/>
          <w:spacing w:val="10"/>
        </w:rPr>
        <w:t> </w:t>
      </w:r>
      <w:r>
        <w:rPr>
          <w:color w:val="231F20"/>
        </w:rPr>
        <w:t>M.,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Brody,</w:t>
      </w:r>
      <w:r>
        <w:rPr>
          <w:color w:val="231F20"/>
          <w:spacing w:val="10"/>
        </w:rPr>
        <w:t> </w:t>
      </w:r>
      <w:r>
        <w:rPr>
          <w:color w:val="231F20"/>
        </w:rPr>
        <w:t>E.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Médecin,</w:t>
      </w:r>
      <w:r>
        <w:rPr>
          <w:color w:val="231F20"/>
          <w:spacing w:val="10"/>
        </w:rPr>
        <w:t> </w:t>
      </w:r>
      <w:r>
        <w:rPr>
          <w:color w:val="231F20"/>
        </w:rPr>
        <w:t>U.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1969.</w:t>
      </w:r>
      <w:r>
        <w:rPr>
          <w:color w:val="231F20"/>
          <w:spacing w:val="12"/>
        </w:rPr>
        <w:t> </w:t>
      </w:r>
      <w:r>
        <w:rPr>
          <w:color w:val="231F20"/>
        </w:rPr>
        <w:t>Instrumental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(IADL).</w:t>
      </w:r>
      <w:r>
        <w:rPr>
          <w:color w:val="231F20"/>
          <w:spacing w:val="-47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Gerontologist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9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179-186.</w:t>
      </w:r>
    </w:p>
    <w:p>
      <w:pPr>
        <w:pStyle w:val="BodyText"/>
        <w:spacing w:line="249" w:lineRule="auto" w:before="3"/>
        <w:ind w:left="443" w:right="45" w:hanging="340"/>
        <w:jc w:val="both"/>
      </w:pPr>
      <w:r>
        <w:rPr>
          <w:color w:val="231F20"/>
        </w:rPr>
        <w:t>Liang, Y., Welmer, A.-K., Möller, J. &amp; Qiu, C. 2017.</w:t>
      </w:r>
      <w:r>
        <w:rPr>
          <w:color w:val="231F20"/>
          <w:spacing w:val="-47"/>
        </w:rPr>
        <w:t> </w:t>
      </w:r>
      <w:r>
        <w:rPr>
          <w:color w:val="231F20"/>
        </w:rPr>
        <w:t>Trends in disability of instrumental activities of</w:t>
      </w:r>
      <w:r>
        <w:rPr>
          <w:color w:val="231F20"/>
          <w:spacing w:val="1"/>
        </w:rPr>
        <w:t> </w:t>
      </w:r>
      <w:r>
        <w:rPr>
          <w:color w:val="231F20"/>
        </w:rPr>
        <w:t>daily living among older Chinese adults, 1997-</w:t>
      </w:r>
      <w:r>
        <w:rPr>
          <w:color w:val="231F20"/>
          <w:spacing w:val="1"/>
        </w:rPr>
        <w:t> </w:t>
      </w:r>
      <w:r>
        <w:rPr>
          <w:color w:val="231F20"/>
        </w:rPr>
        <w:t>2006: Population based study. </w:t>
      </w:r>
      <w:r>
        <w:rPr>
          <w:i/>
          <w:color w:val="231F20"/>
        </w:rPr>
        <w:t>BMJ Open</w:t>
      </w:r>
      <w:r>
        <w:rPr>
          <w:color w:val="231F20"/>
        </w:rPr>
        <w:t>, </w:t>
      </w:r>
      <w:r>
        <w:rPr>
          <w:b/>
          <w:color w:val="231F20"/>
        </w:rPr>
        <w:t>7(8)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e016996-e016996.</w:t>
      </w:r>
    </w:p>
    <w:p>
      <w:pPr>
        <w:pStyle w:val="BodyText"/>
        <w:spacing w:before="92"/>
        <w:ind w:left="104"/>
        <w:jc w:val="both"/>
      </w:pPr>
      <w:r>
        <w:rPr/>
        <w:br w:type="column"/>
      </w:r>
      <w:r>
        <w:rPr>
          <w:color w:val="231F20"/>
        </w:rPr>
        <w:t>Lino, V.T.S., Rodrigues, N.C.P., Andrade, M.K.d.N.,</w:t>
      </w:r>
    </w:p>
    <w:p>
      <w:pPr>
        <w:pStyle w:val="BodyText"/>
        <w:spacing w:line="249" w:lineRule="auto" w:before="10"/>
        <w:ind w:left="443" w:right="403"/>
        <w:jc w:val="both"/>
      </w:pPr>
      <w:r>
        <w:rPr>
          <w:color w:val="231F20"/>
        </w:rPr>
        <w:t>Reis, I.N.d.C., Lopes, L.A.E. &amp; Atie, S. 2019.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Association between visual problems, insufficient</w:t>
      </w:r>
      <w:r>
        <w:rPr>
          <w:color w:val="231F20"/>
          <w:spacing w:val="-48"/>
        </w:rPr>
        <w:t> </w:t>
      </w:r>
      <w:r>
        <w:rPr>
          <w:color w:val="231F20"/>
        </w:rPr>
        <w:t>emotional support and urinary incontinence with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disability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elderly</w:t>
      </w:r>
      <w:r>
        <w:rPr>
          <w:color w:val="231F20"/>
          <w:spacing w:val="-12"/>
        </w:rPr>
        <w:t> </w:t>
      </w:r>
      <w:r>
        <w:rPr>
          <w:color w:val="231F20"/>
        </w:rPr>
        <w:t>people</w:t>
      </w:r>
      <w:r>
        <w:rPr>
          <w:color w:val="231F20"/>
          <w:spacing w:val="-11"/>
        </w:rPr>
        <w:t> </w:t>
      </w:r>
      <w:r>
        <w:rPr>
          <w:color w:val="231F20"/>
        </w:rPr>
        <w:t>living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poor</w:t>
      </w:r>
      <w:r>
        <w:rPr>
          <w:color w:val="231F20"/>
          <w:spacing w:val="-11"/>
        </w:rPr>
        <w:t> </w:t>
      </w:r>
      <w:r>
        <w:rPr>
          <w:color w:val="231F20"/>
        </w:rPr>
        <w:t>district</w:t>
      </w:r>
      <w:r>
        <w:rPr>
          <w:color w:val="231F20"/>
          <w:spacing w:val="-48"/>
        </w:rPr>
        <w:t> </w:t>
      </w:r>
      <w:r>
        <w:rPr>
          <w:color w:val="231F20"/>
        </w:rPr>
        <w:t>in Rio de Janeiro, Brazil: A six-year follow-up</w:t>
      </w:r>
      <w:r>
        <w:rPr>
          <w:color w:val="231F20"/>
          <w:spacing w:val="1"/>
        </w:rPr>
        <w:t> </w:t>
      </w:r>
      <w:r>
        <w:rPr>
          <w:color w:val="231F20"/>
        </w:rPr>
        <w:t>study. </w:t>
      </w:r>
      <w:r>
        <w:rPr>
          <w:i/>
          <w:color w:val="231F20"/>
        </w:rPr>
        <w:t>PLoS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One</w:t>
      </w:r>
      <w:r>
        <w:rPr>
          <w:color w:val="231F20"/>
        </w:rPr>
        <w:t>, </w:t>
      </w:r>
      <w:r>
        <w:rPr>
          <w:b/>
          <w:color w:val="231F20"/>
        </w:rPr>
        <w:t>14(5)</w:t>
      </w:r>
      <w:r>
        <w:rPr>
          <w:color w:val="231F20"/>
        </w:rPr>
        <w:t>:</w:t>
      </w:r>
      <w:r>
        <w:rPr>
          <w:color w:val="231F20"/>
          <w:spacing w:val="-1"/>
        </w:rPr>
        <w:t> </w:t>
      </w:r>
      <w:r>
        <w:rPr>
          <w:color w:val="231F20"/>
        </w:rPr>
        <w:t>e0217456.</w:t>
      </w:r>
    </w:p>
    <w:p>
      <w:pPr>
        <w:pStyle w:val="BodyText"/>
        <w:spacing w:line="249" w:lineRule="auto" w:before="5"/>
        <w:ind w:left="443" w:right="396" w:hanging="340"/>
        <w:jc w:val="both"/>
      </w:pPr>
      <w:r>
        <w:rPr>
          <w:color w:val="231F20"/>
        </w:rPr>
        <w:t>Loh, K.Y., Khairani, O. &amp; Norlaili, T. 2005. The</w:t>
      </w:r>
      <w:r>
        <w:rPr>
          <w:color w:val="231F20"/>
          <w:spacing w:val="1"/>
        </w:rPr>
        <w:t> </w:t>
      </w:r>
      <w:r>
        <w:rPr>
          <w:color w:val="231F20"/>
        </w:rPr>
        <w:t>prevalence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functional</w:t>
      </w:r>
      <w:r>
        <w:rPr>
          <w:color w:val="231F20"/>
          <w:spacing w:val="1"/>
        </w:rPr>
        <w:t> </w:t>
      </w:r>
      <w:r>
        <w:rPr>
          <w:color w:val="231F20"/>
        </w:rPr>
        <w:t>impairment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-47"/>
        </w:rPr>
        <w:t> </w:t>
      </w:r>
      <w:r>
        <w:rPr>
          <w:color w:val="231F20"/>
        </w:rPr>
        <w:t>elderly aged 60 years and above attending Klinik</w:t>
      </w:r>
      <w:r>
        <w:rPr>
          <w:color w:val="231F20"/>
          <w:spacing w:val="-47"/>
        </w:rPr>
        <w:t> </w:t>
      </w:r>
      <w:r>
        <w:rPr>
          <w:color w:val="231F20"/>
        </w:rPr>
        <w:t>Kkesihatan Batu 9 Ulu Langat, Selangor.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Medical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Malaysia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b/>
          <w:color w:val="231F20"/>
        </w:rPr>
        <w:t>60(2)</w:t>
      </w:r>
      <w:r>
        <w:rPr>
          <w:color w:val="231F20"/>
        </w:rPr>
        <w:t>:</w:t>
      </w:r>
      <w:r>
        <w:rPr>
          <w:color w:val="231F20"/>
          <w:spacing w:val="2"/>
        </w:rPr>
        <w:t> </w:t>
      </w:r>
      <w:r>
        <w:rPr>
          <w:color w:val="231F20"/>
        </w:rPr>
        <w:t>188-193.</w:t>
      </w:r>
    </w:p>
    <w:p>
      <w:pPr>
        <w:pStyle w:val="BodyText"/>
        <w:spacing w:line="249" w:lineRule="auto" w:before="4"/>
        <w:ind w:left="443" w:right="403" w:hanging="340"/>
        <w:jc w:val="both"/>
      </w:pPr>
      <w:r>
        <w:rPr>
          <w:color w:val="231F20"/>
        </w:rPr>
        <w:t>Mellouli, M., Sahli, J., Limam, M., Toumi, J., El</w:t>
      </w:r>
      <w:r>
        <w:rPr>
          <w:color w:val="231F20"/>
          <w:spacing w:val="1"/>
        </w:rPr>
        <w:t> </w:t>
      </w:r>
      <w:r>
        <w:rPr>
          <w:color w:val="231F20"/>
        </w:rPr>
        <w:t>Ghardallou, M., Ajmi, T., Mtiraoui, A. &amp; Zedini,</w:t>
      </w:r>
    </w:p>
    <w:p>
      <w:pPr>
        <w:pStyle w:val="BodyText"/>
        <w:spacing w:line="249" w:lineRule="auto" w:before="2"/>
        <w:ind w:left="433" w:right="391" w:firstLine="10"/>
        <w:jc w:val="both"/>
      </w:pPr>
      <w:r>
        <w:rPr>
          <w:color w:val="231F20"/>
        </w:rPr>
        <w:t>C.</w:t>
      </w:r>
      <w:r>
        <w:rPr>
          <w:color w:val="231F20"/>
          <w:spacing w:val="51"/>
        </w:rPr>
        <w:t> </w:t>
      </w:r>
      <w:r>
        <w:rPr>
          <w:color w:val="231F20"/>
        </w:rPr>
        <w:t>2017.</w:t>
      </w:r>
      <w:r>
        <w:rPr>
          <w:color w:val="231F20"/>
          <w:spacing w:val="51"/>
        </w:rPr>
        <w:t> </w:t>
      </w:r>
      <w:r>
        <w:rPr>
          <w:color w:val="231F20"/>
        </w:rPr>
        <w:t>Prevalence   and   associated   factors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functional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living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instrumental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activities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among</w:t>
      </w:r>
      <w:r>
        <w:rPr>
          <w:color w:val="231F20"/>
          <w:spacing w:val="12"/>
        </w:rPr>
        <w:t> </w:t>
      </w:r>
      <w:r>
        <w:rPr>
          <w:color w:val="231F20"/>
        </w:rPr>
        <w:t>institutionalized</w:t>
      </w:r>
      <w:r>
        <w:rPr>
          <w:color w:val="231F20"/>
          <w:spacing w:val="1"/>
        </w:rPr>
        <w:t> </w:t>
      </w:r>
      <w:r>
        <w:rPr>
          <w:color w:val="231F20"/>
        </w:rPr>
        <w:t>Tunisian</w:t>
      </w:r>
      <w:r>
        <w:rPr>
          <w:color w:val="231F20"/>
          <w:spacing w:val="1"/>
        </w:rPr>
        <w:t> </w:t>
      </w:r>
      <w:r>
        <w:rPr>
          <w:color w:val="231F20"/>
        </w:rPr>
        <w:t>elderly.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Advances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Research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11(3)</w:t>
      </w:r>
      <w:r>
        <w:rPr>
          <w:color w:val="231F20"/>
        </w:rPr>
        <w:t>:</w:t>
      </w:r>
      <w:r>
        <w:rPr>
          <w:color w:val="231F20"/>
          <w:spacing w:val="-1"/>
        </w:rPr>
        <w:t> </w:t>
      </w:r>
      <w:r>
        <w:rPr>
          <w:color w:val="231F20"/>
        </w:rPr>
        <w:t>1-10.</w:t>
      </w:r>
    </w:p>
    <w:p>
      <w:pPr>
        <w:pStyle w:val="BodyText"/>
        <w:spacing w:line="249" w:lineRule="auto" w:before="4"/>
        <w:ind w:left="443" w:right="394" w:hanging="340"/>
        <w:jc w:val="both"/>
      </w:pPr>
      <w:r>
        <w:rPr>
          <w:color w:val="231F20"/>
        </w:rPr>
        <w:t>Meng, Q., Xie, Z. &amp; Zhang, T. 2014. A single-item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self-rated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measure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correlates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</w:rPr>
        <w:t>objective</w:t>
      </w:r>
      <w:r>
        <w:rPr>
          <w:color w:val="231F20"/>
          <w:spacing w:val="38"/>
        </w:rPr>
        <w:t> </w:t>
      </w:r>
      <w:r>
        <w:rPr>
          <w:color w:val="231F20"/>
        </w:rPr>
        <w:t>health</w:t>
      </w:r>
      <w:r>
        <w:rPr>
          <w:color w:val="231F20"/>
          <w:spacing w:val="38"/>
        </w:rPr>
        <w:t> </w:t>
      </w:r>
      <w:r>
        <w:rPr>
          <w:color w:val="231F20"/>
        </w:rPr>
        <w:t>status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elderly: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survey</w:t>
      </w:r>
      <w:r>
        <w:rPr>
          <w:color w:val="231F20"/>
          <w:spacing w:val="-48"/>
        </w:rPr>
        <w:t> </w:t>
      </w:r>
      <w:r>
        <w:rPr>
          <w:color w:val="231F20"/>
        </w:rPr>
        <w:t>in suburban beijing. </w:t>
      </w:r>
      <w:r>
        <w:rPr>
          <w:i/>
          <w:color w:val="231F20"/>
        </w:rPr>
        <w:t>Frontiers in Public Health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2</w:t>
      </w:r>
      <w:r>
        <w:rPr>
          <w:color w:val="231F20"/>
        </w:rPr>
        <w:t>:</w:t>
      </w:r>
      <w:r>
        <w:rPr>
          <w:color w:val="231F20"/>
          <w:spacing w:val="-13"/>
        </w:rPr>
        <w:t> </w:t>
      </w:r>
      <w:r>
        <w:rPr>
          <w:color w:val="231F20"/>
        </w:rPr>
        <w:t>27-27.</w:t>
      </w:r>
    </w:p>
    <w:p>
      <w:pPr>
        <w:pStyle w:val="BodyText"/>
        <w:spacing w:line="249" w:lineRule="auto" w:before="4"/>
        <w:ind w:left="443" w:right="405" w:hanging="340"/>
        <w:jc w:val="both"/>
      </w:pPr>
      <w:r>
        <w:rPr>
          <w:color w:val="231F20"/>
        </w:rPr>
        <w:t>Meurer, L., Layde, P. &amp; Guse, C. 2001. Self-rated</w:t>
      </w:r>
      <w:r>
        <w:rPr>
          <w:color w:val="231F20"/>
          <w:spacing w:val="1"/>
        </w:rPr>
        <w:t> </w:t>
      </w:r>
      <w:r>
        <w:rPr>
          <w:color w:val="231F20"/>
        </w:rPr>
        <w:t>health status: A new vital sign for primary care?.</w:t>
      </w:r>
      <w:r>
        <w:rPr>
          <w:color w:val="231F20"/>
          <w:spacing w:val="-47"/>
        </w:rPr>
        <w:t> </w:t>
      </w:r>
      <w:r>
        <w:rPr>
          <w:i/>
          <w:color w:val="231F20"/>
        </w:rPr>
        <w:t>WMJ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100(7)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35-39.</w:t>
      </w:r>
    </w:p>
    <w:p>
      <w:pPr>
        <w:spacing w:line="249" w:lineRule="auto" w:before="2"/>
        <w:ind w:left="443" w:right="402" w:hanging="340"/>
        <w:jc w:val="both"/>
        <w:rPr>
          <w:sz w:val="20"/>
        </w:rPr>
      </w:pPr>
      <w:r>
        <w:rPr>
          <w:color w:val="231F20"/>
          <w:spacing w:val="-1"/>
          <w:sz w:val="20"/>
        </w:rPr>
        <w:t>Moore,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A.A.,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Endo,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J.O.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&amp;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Carter,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M.K.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2003.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there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relationship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between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excessive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drinking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functional impairment in older persons?.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the American Geriatrics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Society</w:t>
      </w:r>
      <w:r>
        <w:rPr>
          <w:color w:val="231F20"/>
          <w:sz w:val="20"/>
        </w:rPr>
        <w:t>,</w:t>
      </w:r>
      <w:r>
        <w:rPr>
          <w:color w:val="231F20"/>
          <w:spacing w:val="2"/>
          <w:sz w:val="20"/>
        </w:rPr>
        <w:t> </w:t>
      </w:r>
      <w:r>
        <w:rPr>
          <w:b/>
          <w:color w:val="231F20"/>
          <w:sz w:val="20"/>
        </w:rPr>
        <w:t>51(1)</w:t>
      </w:r>
      <w:r>
        <w:rPr>
          <w:color w:val="231F20"/>
          <w:sz w:val="20"/>
        </w:rPr>
        <w:t>: 44-49.</w:t>
      </w:r>
    </w:p>
    <w:p>
      <w:pPr>
        <w:spacing w:line="249" w:lineRule="auto" w:before="4"/>
        <w:ind w:left="443" w:right="411" w:hanging="340"/>
        <w:jc w:val="both"/>
        <w:rPr>
          <w:sz w:val="20"/>
        </w:rPr>
      </w:pPr>
      <w:r>
        <w:rPr>
          <w:color w:val="231F20"/>
          <w:spacing w:val="-3"/>
          <w:sz w:val="20"/>
        </w:rPr>
        <w:t>Niccoli,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T.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&amp;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Partridge,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L.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2012.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Ageing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risk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factor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disease.</w:t>
      </w:r>
      <w:r>
        <w:rPr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Current Biology</w:t>
      </w:r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22(17)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741-752.</w:t>
      </w:r>
    </w:p>
    <w:p>
      <w:pPr>
        <w:spacing w:line="249" w:lineRule="auto" w:before="1"/>
        <w:ind w:left="433" w:right="395" w:hanging="329"/>
        <w:jc w:val="both"/>
        <w:rPr>
          <w:sz w:val="20"/>
        </w:rPr>
      </w:pPr>
      <w:r>
        <w:rPr>
          <w:color w:val="231F20"/>
          <w:sz w:val="20"/>
        </w:rPr>
        <w:t>Otero,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Á.,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Yébenes,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M.J.G.,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Rodríguez-Laso,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Á.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&amp; Zunzunegui, M.V. 2003. Unmet home care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needs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among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community-dwelling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elderly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people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Spain.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Aging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Clinical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Experimental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Research</w:t>
      </w:r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15(3)</w:t>
      </w:r>
      <w:r>
        <w:rPr>
          <w:color w:val="231F20"/>
          <w:sz w:val="20"/>
        </w:rPr>
        <w:t>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234-242.</w:t>
      </w:r>
    </w:p>
    <w:p>
      <w:pPr>
        <w:pStyle w:val="BodyText"/>
        <w:spacing w:line="249" w:lineRule="auto" w:before="4"/>
        <w:ind w:left="443" w:right="406" w:hanging="340"/>
        <w:jc w:val="both"/>
      </w:pPr>
      <w:r>
        <w:rPr>
          <w:color w:val="231F20"/>
        </w:rPr>
        <w:t>Palacios-Cena, D., Jimenez-Garcia, R., Hernandez-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Barrera,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V.,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Alonso-Blanco,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C.,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Carrasco-Garrido,</w:t>
      </w:r>
    </w:p>
    <w:p>
      <w:pPr>
        <w:spacing w:line="249" w:lineRule="auto" w:before="2"/>
        <w:ind w:left="433" w:right="394" w:firstLine="10"/>
        <w:jc w:val="both"/>
        <w:rPr>
          <w:sz w:val="20"/>
        </w:rPr>
      </w:pPr>
      <w:r>
        <w:rPr>
          <w:color w:val="231F20"/>
          <w:sz w:val="20"/>
        </w:rPr>
        <w:t>P. &amp; Fernandez-de-Las-Penas, C. 2012. Has 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prevalence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disability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increased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over</w:t>
      </w:r>
      <w:r>
        <w:rPr>
          <w:color w:val="231F20"/>
          <w:spacing w:val="51"/>
          <w:sz w:val="20"/>
        </w:rPr>
        <w:t> </w:t>
      </w:r>
      <w:r>
        <w:rPr>
          <w:color w:val="231F20"/>
          <w:spacing w:val="10"/>
          <w:sz w:val="20"/>
        </w:rPr>
        <w:t>the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past decade (2000-2007) in elderly people?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Spanish population-based survey. </w:t>
      </w:r>
      <w:r>
        <w:rPr>
          <w:i/>
          <w:color w:val="231F20"/>
          <w:sz w:val="20"/>
        </w:rPr>
        <w:t>Journal of 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American Medical Directors Association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13(2)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136-142.</w:t>
      </w:r>
    </w:p>
    <w:p>
      <w:pPr>
        <w:pStyle w:val="BodyText"/>
        <w:spacing w:line="249" w:lineRule="auto" w:before="5"/>
        <w:ind w:left="443" w:right="397" w:hanging="340"/>
        <w:jc w:val="both"/>
      </w:pPr>
      <w:r>
        <w:rPr>
          <w:color w:val="231F20"/>
        </w:rPr>
        <w:t>Park, J. &amp; Lee, Y.J. 2017. Patterns of instrumental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predictors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community-dwelling</w:t>
      </w:r>
      <w:r>
        <w:rPr>
          <w:color w:val="231F20"/>
          <w:spacing w:val="1"/>
        </w:rPr>
        <w:t> </w:t>
      </w:r>
      <w:r>
        <w:rPr>
          <w:color w:val="231F20"/>
        </w:rPr>
        <w:t>older</w:t>
      </w:r>
      <w:r>
        <w:rPr>
          <w:color w:val="231F20"/>
          <w:spacing w:val="1"/>
        </w:rPr>
        <w:t> </w:t>
      </w:r>
      <w:r>
        <w:rPr>
          <w:color w:val="231F20"/>
        </w:rPr>
        <w:t>women: A latent class analysis. </w:t>
      </w:r>
      <w:r>
        <w:rPr>
          <w:i/>
          <w:color w:val="231F20"/>
        </w:rPr>
        <w:t>BMC Geriatr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17(1)</w:t>
      </w:r>
      <w:r>
        <w:rPr>
          <w:color w:val="231F20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158-158.</w:t>
      </w:r>
    </w:p>
    <w:p>
      <w:pPr>
        <w:spacing w:line="249" w:lineRule="auto" w:before="4"/>
        <w:ind w:left="443" w:right="395" w:hanging="340"/>
        <w:jc w:val="both"/>
        <w:rPr>
          <w:sz w:val="20"/>
        </w:rPr>
      </w:pPr>
      <w:r>
        <w:rPr>
          <w:color w:val="231F20"/>
          <w:spacing w:val="9"/>
          <w:sz w:val="20"/>
        </w:rPr>
        <w:t>Peron,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9"/>
          <w:sz w:val="20"/>
        </w:rPr>
        <w:t>E.P.,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Gray,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S.L.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Hanlon,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J.T.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1"/>
          <w:sz w:val="20"/>
        </w:rPr>
        <w:t>2011.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Medication use and functional status decline 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older adults: A narrative review. </w:t>
      </w:r>
      <w:r>
        <w:rPr>
          <w:i/>
          <w:color w:val="231F20"/>
          <w:sz w:val="20"/>
        </w:rPr>
        <w:t>The American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Geriatric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Pharmacotherapy</w:t>
      </w:r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9(6)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378-391.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6" w:space="412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728" w:right="50" w:hanging="341"/>
        <w:jc w:val="both"/>
      </w:pPr>
      <w:r>
        <w:rPr>
          <w:color w:val="231F20"/>
        </w:rPr>
        <w:t>Phaswana-Mafuya,</w:t>
      </w:r>
      <w:r>
        <w:rPr>
          <w:color w:val="231F20"/>
          <w:spacing w:val="1"/>
        </w:rPr>
        <w:t> </w:t>
      </w:r>
      <w:r>
        <w:rPr>
          <w:color w:val="231F20"/>
        </w:rPr>
        <w:t>N.,</w:t>
      </w:r>
      <w:r>
        <w:rPr>
          <w:color w:val="231F20"/>
          <w:spacing w:val="1"/>
        </w:rPr>
        <w:t> </w:t>
      </w:r>
      <w:r>
        <w:rPr>
          <w:color w:val="231F20"/>
        </w:rPr>
        <w:t>Peltzer,</w:t>
      </w:r>
      <w:r>
        <w:rPr>
          <w:color w:val="231F20"/>
          <w:spacing w:val="1"/>
        </w:rPr>
        <w:t> </w:t>
      </w:r>
      <w:r>
        <w:rPr>
          <w:color w:val="231F20"/>
        </w:rPr>
        <w:t>K.,</w:t>
      </w:r>
      <w:r>
        <w:rPr>
          <w:color w:val="231F20"/>
          <w:spacing w:val="1"/>
        </w:rPr>
        <w:t> </w:t>
      </w:r>
      <w:r>
        <w:rPr>
          <w:color w:val="231F20"/>
        </w:rPr>
        <w:t>Chirinda,</w:t>
      </w:r>
      <w:r>
        <w:rPr>
          <w:color w:val="231F20"/>
          <w:spacing w:val="1"/>
        </w:rPr>
        <w:t> </w:t>
      </w:r>
      <w:r>
        <w:rPr>
          <w:color w:val="231F20"/>
        </w:rPr>
        <w:t>W.,</w:t>
      </w:r>
      <w:r>
        <w:rPr>
          <w:color w:val="231F20"/>
          <w:spacing w:val="1"/>
        </w:rPr>
        <w:t> </w:t>
      </w:r>
      <w:r>
        <w:rPr>
          <w:color w:val="231F20"/>
        </w:rPr>
        <w:t>Kose, Z., Hoosain, E., Ramlagan, S., Tabane, C.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Davids,</w:t>
      </w:r>
      <w:r>
        <w:rPr>
          <w:color w:val="231F20"/>
          <w:spacing w:val="10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2013.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Self-rated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associated factors among older South Africans:</w:t>
      </w:r>
      <w:r>
        <w:rPr>
          <w:color w:val="231F20"/>
          <w:spacing w:val="1"/>
        </w:rPr>
        <w:t> </w:t>
      </w:r>
      <w:r>
        <w:rPr>
          <w:color w:val="231F20"/>
        </w:rPr>
        <w:t>evidence from the study on global ageing and</w:t>
      </w:r>
      <w:r>
        <w:rPr>
          <w:color w:val="231F20"/>
          <w:spacing w:val="1"/>
        </w:rPr>
        <w:t> </w:t>
      </w:r>
      <w:r>
        <w:rPr>
          <w:color w:val="231F20"/>
        </w:rPr>
        <w:t>adult health. </w:t>
      </w:r>
      <w:r>
        <w:rPr>
          <w:i/>
          <w:color w:val="231F20"/>
        </w:rPr>
        <w:t>Global Health Action</w:t>
      </w:r>
      <w:r>
        <w:rPr>
          <w:color w:val="231F20"/>
        </w:rPr>
        <w:t>, </w:t>
      </w:r>
      <w:r>
        <w:rPr>
          <w:b/>
          <w:color w:val="231F20"/>
        </w:rPr>
        <w:t>6(1)</w:t>
      </w:r>
      <w:r>
        <w:rPr>
          <w:color w:val="231F20"/>
        </w:rPr>
        <w:t>: 19880-</w:t>
      </w:r>
      <w:r>
        <w:rPr>
          <w:color w:val="231F20"/>
          <w:spacing w:val="1"/>
        </w:rPr>
        <w:t> </w:t>
      </w:r>
      <w:r>
        <w:rPr>
          <w:color w:val="231F20"/>
        </w:rPr>
        <w:t>19880.</w:t>
      </w:r>
    </w:p>
    <w:p>
      <w:pPr>
        <w:pStyle w:val="BodyText"/>
        <w:spacing w:before="6"/>
        <w:ind w:left="388"/>
        <w:jc w:val="both"/>
      </w:pPr>
      <w:r>
        <w:rPr>
          <w:color w:val="231F20"/>
        </w:rPr>
        <w:t>Spencer,</w:t>
      </w:r>
      <w:r>
        <w:rPr>
          <w:color w:val="231F20"/>
          <w:spacing w:val="-7"/>
        </w:rPr>
        <w:t> </w:t>
      </w:r>
      <w:r>
        <w:rPr>
          <w:color w:val="231F20"/>
        </w:rPr>
        <w:t>S.M.,</w:t>
      </w:r>
      <w:r>
        <w:rPr>
          <w:color w:val="231F20"/>
          <w:spacing w:val="-7"/>
        </w:rPr>
        <w:t> </w:t>
      </w:r>
      <w:r>
        <w:rPr>
          <w:color w:val="231F20"/>
        </w:rPr>
        <w:t>Schulz,</w:t>
      </w:r>
      <w:r>
        <w:rPr>
          <w:color w:val="231F20"/>
          <w:spacing w:val="-6"/>
        </w:rPr>
        <w:t> </w:t>
      </w:r>
      <w:r>
        <w:rPr>
          <w:color w:val="231F20"/>
        </w:rPr>
        <w:t>R.,</w:t>
      </w:r>
      <w:r>
        <w:rPr>
          <w:color w:val="231F20"/>
          <w:spacing w:val="-7"/>
        </w:rPr>
        <w:t> </w:t>
      </w:r>
      <w:r>
        <w:rPr>
          <w:color w:val="231F20"/>
        </w:rPr>
        <w:t>Rooks,</w:t>
      </w:r>
      <w:r>
        <w:rPr>
          <w:color w:val="231F20"/>
          <w:spacing w:val="-6"/>
        </w:rPr>
        <w:t> </w:t>
      </w:r>
      <w:r>
        <w:rPr>
          <w:color w:val="231F20"/>
        </w:rPr>
        <w:t>R.N.,</w:t>
      </w:r>
      <w:r>
        <w:rPr>
          <w:color w:val="231F20"/>
          <w:spacing w:val="-7"/>
        </w:rPr>
        <w:t> </w:t>
      </w:r>
      <w:r>
        <w:rPr>
          <w:color w:val="231F20"/>
        </w:rPr>
        <w:t>Albert,</w:t>
      </w:r>
      <w:r>
        <w:rPr>
          <w:color w:val="231F20"/>
          <w:spacing w:val="-6"/>
        </w:rPr>
        <w:t> </w:t>
      </w:r>
      <w:r>
        <w:rPr>
          <w:color w:val="231F20"/>
        </w:rPr>
        <w:t>S.M.,</w:t>
      </w:r>
    </w:p>
    <w:p>
      <w:pPr>
        <w:pStyle w:val="BodyText"/>
        <w:spacing w:line="249" w:lineRule="auto" w:before="10"/>
        <w:ind w:left="728" w:right="61"/>
        <w:jc w:val="both"/>
      </w:pPr>
      <w:r>
        <w:rPr>
          <w:color w:val="231F20"/>
          <w:spacing w:val="-3"/>
        </w:rPr>
        <w:t>Thorpe,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R.J.,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Jr,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Brenes,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G.A.,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Harris,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T.B.,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Koster,</w:t>
      </w:r>
      <w:r>
        <w:rPr>
          <w:color w:val="231F20"/>
          <w:spacing w:val="-47"/>
        </w:rPr>
        <w:t> </w:t>
      </w:r>
      <w:r>
        <w:rPr>
          <w:color w:val="231F20"/>
        </w:rPr>
        <w:t>A.,</w:t>
      </w:r>
      <w:r>
        <w:rPr>
          <w:color w:val="231F20"/>
          <w:spacing w:val="11"/>
        </w:rPr>
        <w:t> </w:t>
      </w:r>
      <w:r>
        <w:rPr>
          <w:color w:val="231F20"/>
        </w:rPr>
        <w:t>Satterfield,</w:t>
      </w:r>
      <w:r>
        <w:rPr>
          <w:color w:val="231F20"/>
          <w:spacing w:val="12"/>
        </w:rPr>
        <w:t> </w:t>
      </w:r>
      <w:r>
        <w:rPr>
          <w:color w:val="231F20"/>
        </w:rPr>
        <w:t>S.,</w:t>
      </w:r>
      <w:r>
        <w:rPr>
          <w:color w:val="231F20"/>
          <w:spacing w:val="11"/>
        </w:rPr>
        <w:t> </w:t>
      </w:r>
      <w:r>
        <w:rPr>
          <w:color w:val="231F20"/>
        </w:rPr>
        <w:t>Ayonayon,</w:t>
      </w:r>
      <w:r>
        <w:rPr>
          <w:color w:val="231F20"/>
          <w:spacing w:val="11"/>
        </w:rPr>
        <w:t> </w:t>
      </w:r>
      <w:r>
        <w:rPr>
          <w:color w:val="231F20"/>
        </w:rPr>
        <w:t>H.N.</w:t>
      </w:r>
      <w:r>
        <w:rPr>
          <w:color w:val="231F20"/>
          <w:spacing w:val="12"/>
        </w:rPr>
        <w:t> </w:t>
      </w:r>
      <w:r>
        <w:rPr>
          <w:color w:val="231F20"/>
        </w:rPr>
        <w:t>&amp;</w:t>
      </w:r>
      <w:r>
        <w:rPr>
          <w:color w:val="231F20"/>
          <w:spacing w:val="11"/>
        </w:rPr>
        <w:t> </w:t>
      </w:r>
      <w:r>
        <w:rPr>
          <w:color w:val="231F20"/>
        </w:rPr>
        <w:t>Newman,</w:t>
      </w:r>
    </w:p>
    <w:p>
      <w:pPr>
        <w:pStyle w:val="BodyText"/>
        <w:spacing w:line="249" w:lineRule="auto" w:before="1"/>
        <w:ind w:left="716" w:right="48" w:firstLine="11"/>
        <w:jc w:val="both"/>
      </w:pPr>
      <w:r>
        <w:rPr>
          <w:color w:val="231F20"/>
        </w:rPr>
        <w:t>A.B. 2009. Racial differences in self-rated health</w:t>
      </w:r>
      <w:r>
        <w:rPr>
          <w:color w:val="231F20"/>
          <w:spacing w:val="-47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physical</w:t>
      </w:r>
      <w:r>
        <w:rPr>
          <w:color w:val="231F20"/>
          <w:spacing w:val="1"/>
        </w:rPr>
        <w:t> </w:t>
      </w:r>
      <w:r>
        <w:rPr>
          <w:color w:val="231F20"/>
        </w:rPr>
        <w:t>functioning: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examination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pessimism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health, aging, and body composition study.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Journals of Gerontology: Series B</w:t>
      </w:r>
      <w:r>
        <w:rPr>
          <w:color w:val="231F20"/>
        </w:rPr>
        <w:t>, </w:t>
      </w:r>
      <w:r>
        <w:rPr>
          <w:b/>
          <w:color w:val="231F20"/>
        </w:rPr>
        <w:t>64B(1)</w:t>
      </w:r>
      <w:r>
        <w:rPr>
          <w:color w:val="231F20"/>
        </w:rPr>
        <w:t>: 87-</w:t>
      </w:r>
      <w:r>
        <w:rPr>
          <w:color w:val="231F20"/>
          <w:spacing w:val="1"/>
        </w:rPr>
        <w:t> </w:t>
      </w:r>
      <w:r>
        <w:rPr>
          <w:color w:val="231F20"/>
        </w:rPr>
        <w:t>94.</w:t>
      </w:r>
    </w:p>
    <w:p>
      <w:pPr>
        <w:pStyle w:val="BodyText"/>
        <w:spacing w:line="249" w:lineRule="auto" w:before="5"/>
        <w:ind w:left="728" w:right="57" w:hanging="341"/>
        <w:jc w:val="both"/>
      </w:pPr>
      <w:r>
        <w:rPr>
          <w:color w:val="231F20"/>
          <w:spacing w:val="-2"/>
        </w:rPr>
        <w:t>Storeng,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S.H.,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Sund,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E.R.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Krokstad,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2018.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Factors</w:t>
      </w:r>
      <w:r>
        <w:rPr>
          <w:color w:val="231F20"/>
          <w:spacing w:val="-47"/>
        </w:rPr>
        <w:t> </w:t>
      </w:r>
      <w:r>
        <w:rPr>
          <w:color w:val="231F20"/>
        </w:rPr>
        <w:t>associated with basic and instrumental 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daily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living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elderly </w:t>
      </w:r>
      <w:r>
        <w:rPr>
          <w:color w:val="231F20"/>
          <w:spacing w:val="10"/>
        </w:rPr>
        <w:t>participants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population-based</w:t>
      </w:r>
      <w:r>
        <w:rPr>
          <w:color w:val="231F20"/>
          <w:spacing w:val="1"/>
        </w:rPr>
        <w:t> </w:t>
      </w:r>
      <w:r>
        <w:rPr>
          <w:color w:val="231F20"/>
        </w:rPr>
        <w:t>survey: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Nord-Trøndelag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Study,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Norway.</w:t>
      </w:r>
      <w:r>
        <w:rPr>
          <w:color w:val="231F20"/>
          <w:spacing w:val="-8"/>
        </w:rPr>
        <w:t> </w:t>
      </w:r>
      <w:r>
        <w:rPr>
          <w:i/>
          <w:color w:val="231F20"/>
          <w:spacing w:val="-1"/>
        </w:rPr>
        <w:t>BMJ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1"/>
        </w:rPr>
        <w:t>Open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b/>
          <w:color w:val="231F20"/>
          <w:spacing w:val="-1"/>
        </w:rPr>
        <w:t>8(3)</w:t>
      </w:r>
      <w:r>
        <w:rPr>
          <w:color w:val="231F20"/>
          <w:spacing w:val="-1"/>
        </w:rPr>
        <w:t>: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e018942.</w:t>
      </w:r>
    </w:p>
    <w:p>
      <w:pPr>
        <w:pStyle w:val="BodyText"/>
        <w:spacing w:line="249" w:lineRule="auto" w:before="4"/>
        <w:ind w:left="728" w:right="50" w:hanging="341"/>
        <w:jc w:val="both"/>
      </w:pPr>
      <w:r>
        <w:rPr>
          <w:color w:val="231F20"/>
          <w:spacing w:val="-4"/>
        </w:rPr>
        <w:t>Strodl, E. &amp; Kenardy, J. 2008. The 5-item mental </w:t>
      </w:r>
      <w:r>
        <w:rPr>
          <w:color w:val="231F20"/>
          <w:spacing w:val="-3"/>
        </w:rPr>
        <w:t>health</w:t>
      </w:r>
      <w:r>
        <w:rPr>
          <w:color w:val="231F20"/>
          <w:spacing w:val="-47"/>
        </w:rPr>
        <w:t> </w:t>
      </w:r>
      <w:r>
        <w:rPr>
          <w:color w:val="231F20"/>
        </w:rPr>
        <w:t>index predicts the initial diagnosis of nonfatal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stroke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older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women.</w:t>
      </w:r>
      <w:r>
        <w:rPr>
          <w:color w:val="231F20"/>
          <w:spacing w:val="10"/>
        </w:rPr>
        <w:t> </w:t>
      </w:r>
      <w:r>
        <w:rPr>
          <w:i/>
          <w:color w:val="231F20"/>
        </w:rPr>
        <w:t>J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9"/>
        </w:rPr>
        <w:t>Womens</w:t>
      </w:r>
      <w:r>
        <w:rPr>
          <w:i/>
          <w:color w:val="231F20"/>
          <w:spacing w:val="10"/>
        </w:rPr>
        <w:t> </w:t>
      </w:r>
      <w:r>
        <w:rPr>
          <w:i/>
          <w:color w:val="231F20"/>
          <w:spacing w:val="11"/>
        </w:rPr>
        <w:t>Health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(Larchmt)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17(6)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979-986.</w:t>
      </w:r>
    </w:p>
    <w:p>
      <w:pPr>
        <w:pStyle w:val="BodyText"/>
        <w:spacing w:line="249" w:lineRule="auto" w:before="4"/>
        <w:ind w:left="728" w:right="53" w:hanging="341"/>
        <w:jc w:val="both"/>
      </w:pPr>
      <w:r>
        <w:rPr>
          <w:color w:val="231F20"/>
        </w:rPr>
        <w:t>Teh, E.E. &amp; Hasanah, C.I. 2004. Validation of Malay</w:t>
      </w:r>
      <w:r>
        <w:rPr>
          <w:color w:val="231F20"/>
          <w:spacing w:val="-47"/>
        </w:rPr>
        <w:t> </w:t>
      </w:r>
      <w:r>
        <w:rPr>
          <w:color w:val="231F20"/>
        </w:rPr>
        <w:t>version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geriatric</w:t>
      </w:r>
      <w:r>
        <w:rPr>
          <w:color w:val="231F20"/>
          <w:spacing w:val="1"/>
        </w:rPr>
        <w:t> </w:t>
      </w:r>
      <w:r>
        <w:rPr>
          <w:color w:val="231F20"/>
        </w:rPr>
        <w:t>depression</w:t>
      </w:r>
      <w:r>
        <w:rPr>
          <w:color w:val="231F20"/>
          <w:spacing w:val="1"/>
        </w:rPr>
        <w:t> </w:t>
      </w:r>
      <w:r>
        <w:rPr>
          <w:color w:val="231F20"/>
        </w:rPr>
        <w:t>scale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elderly</w:t>
      </w:r>
      <w:r>
        <w:rPr>
          <w:color w:val="231F20"/>
          <w:spacing w:val="15"/>
        </w:rPr>
        <w:t> </w:t>
      </w:r>
      <w:r>
        <w:rPr>
          <w:color w:val="231F20"/>
        </w:rPr>
        <w:t>inpatients.</w:t>
      </w:r>
      <w:r>
        <w:rPr>
          <w:color w:val="231F20"/>
          <w:spacing w:val="13"/>
        </w:rPr>
        <w:t> </w:t>
      </w:r>
      <w:r>
        <w:rPr>
          <w:i/>
          <w:color w:val="231F20"/>
        </w:rPr>
        <w:t>Priory</w:t>
      </w:r>
      <w:r>
        <w:rPr>
          <w:i/>
          <w:color w:val="231F20"/>
          <w:spacing w:val="14"/>
        </w:rPr>
        <w:t> </w:t>
      </w:r>
      <w:r>
        <w:rPr>
          <w:i/>
          <w:color w:val="231F20"/>
        </w:rPr>
        <w:t>Medical</w:t>
      </w:r>
      <w:r>
        <w:rPr>
          <w:i/>
          <w:color w:val="231F20"/>
          <w:spacing w:val="14"/>
        </w:rPr>
        <w:t> </w:t>
      </w:r>
      <w:r>
        <w:rPr>
          <w:i/>
          <w:color w:val="231F20"/>
        </w:rPr>
        <w:t>Journals</w:t>
      </w:r>
      <w:r>
        <w:rPr>
          <w:color w:val="231F20"/>
        </w:rPr>
        <w:t>.</w:t>
      </w:r>
    </w:p>
    <w:p>
      <w:pPr>
        <w:pStyle w:val="BodyText"/>
        <w:spacing w:line="249" w:lineRule="auto" w:before="2"/>
        <w:ind w:left="728" w:right="38" w:hanging="341"/>
        <w:jc w:val="both"/>
      </w:pPr>
      <w:r>
        <w:rPr>
          <w:color w:val="231F20"/>
        </w:rPr>
        <w:t>United Nations. 2019. Ageing and disability. URL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  <w:spacing w:val="22"/>
          </w:rPr>
          <w:t>https://www.un.org/development/desa/</w:t>
        </w:r>
        <w:r>
          <w:rPr>
            <w:color w:val="231F20"/>
            <w:spacing w:val="-48"/>
          </w:rPr>
          <w:t> </w:t>
        </w:r>
      </w:hyperlink>
      <w:r>
        <w:rPr>
          <w:color w:val="231F20"/>
        </w:rPr>
        <w:t>disabilities/disability-and-ageing.html (accessed</w:t>
      </w:r>
      <w:r>
        <w:rPr>
          <w:color w:val="231F20"/>
          <w:spacing w:val="1"/>
        </w:rPr>
        <w:t> </w:t>
      </w:r>
      <w:r>
        <w:rPr>
          <w:color w:val="231F20"/>
        </w:rPr>
        <w:t>mm.dd.yy)</w:t>
      </w:r>
    </w:p>
    <w:p>
      <w:pPr>
        <w:spacing w:line="249" w:lineRule="auto" w:before="4"/>
        <w:ind w:left="728" w:right="58" w:hanging="341"/>
        <w:jc w:val="both"/>
        <w:rPr>
          <w:sz w:val="20"/>
        </w:rPr>
      </w:pPr>
      <w:r>
        <w:rPr>
          <w:color w:val="231F20"/>
          <w:sz w:val="20"/>
        </w:rPr>
        <w:t>Veerapu, N., Praveenkumar, B., Subramaniyan, P. &amp;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Arun, G. 2016. Functional dependence among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elderly people in a rural community of Andhra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Pradesh, South India. </w:t>
      </w:r>
      <w:r>
        <w:rPr>
          <w:i/>
          <w:color w:val="231F20"/>
          <w:sz w:val="20"/>
        </w:rPr>
        <w:t>International Journal 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Community Medicine and Public Health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3(7)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1835-1840.</w:t>
      </w:r>
    </w:p>
    <w:p>
      <w:pPr>
        <w:pStyle w:val="BodyText"/>
        <w:spacing w:line="249" w:lineRule="auto" w:before="92"/>
        <w:ind w:left="728" w:right="117" w:hanging="341"/>
        <w:jc w:val="both"/>
      </w:pPr>
      <w:r>
        <w:rPr/>
        <w:br w:type="column"/>
      </w:r>
      <w:r>
        <w:rPr>
          <w:color w:val="231F20"/>
          <w:spacing w:val="-2"/>
        </w:rPr>
        <w:t>Wan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Ibrahim,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W.M.S.,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Mohamad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Ashi,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S.H.,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Othman,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N.H.,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Mohd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Zukri,</w:t>
      </w:r>
      <w:r>
        <w:rPr>
          <w:color w:val="231F20"/>
          <w:spacing w:val="-11"/>
        </w:rPr>
        <w:t> </w:t>
      </w:r>
      <w:r>
        <w:rPr>
          <w:color w:val="231F20"/>
        </w:rPr>
        <w:t>S.F.,</w:t>
      </w:r>
      <w:r>
        <w:rPr>
          <w:color w:val="231F20"/>
          <w:spacing w:val="-11"/>
        </w:rPr>
        <w:t> </w:t>
      </w:r>
      <w:r>
        <w:rPr>
          <w:color w:val="231F20"/>
        </w:rPr>
        <w:t>Anwar,</w:t>
      </w:r>
      <w:r>
        <w:rPr>
          <w:color w:val="231F20"/>
          <w:spacing w:val="-10"/>
        </w:rPr>
        <w:t> </w:t>
      </w:r>
      <w:r>
        <w:rPr>
          <w:color w:val="231F20"/>
        </w:rPr>
        <w:t>R.,</w:t>
      </w:r>
      <w:r>
        <w:rPr>
          <w:color w:val="231F20"/>
          <w:spacing w:val="-11"/>
        </w:rPr>
        <w:t> </w:t>
      </w:r>
      <w:r>
        <w:rPr>
          <w:color w:val="231F20"/>
        </w:rPr>
        <w:t>Miskiman,</w:t>
      </w:r>
      <w:r>
        <w:rPr>
          <w:color w:val="231F20"/>
          <w:spacing w:val="-11"/>
        </w:rPr>
        <w:t> </w:t>
      </w:r>
      <w:r>
        <w:rPr>
          <w:color w:val="231F20"/>
        </w:rPr>
        <w:t>N.</w:t>
      </w:r>
      <w:r>
        <w:rPr>
          <w:color w:val="231F20"/>
          <w:spacing w:val="-48"/>
        </w:rPr>
        <w:t> </w:t>
      </w:r>
      <w:r>
        <w:rPr>
          <w:color w:val="231F20"/>
        </w:rPr>
        <w:t>&amp; Abdul Shukor, F.A.-Z. 2017. Population and</w:t>
      </w:r>
      <w:r>
        <w:rPr>
          <w:color w:val="231F20"/>
          <w:spacing w:val="1"/>
        </w:rPr>
        <w:t> </w:t>
      </w:r>
      <w:r>
        <w:rPr>
          <w:color w:val="231F20"/>
        </w:rPr>
        <w:t>demographics</w:t>
      </w:r>
      <w:r>
        <w:rPr>
          <w:color w:val="231F20"/>
          <w:spacing w:val="1"/>
        </w:rPr>
        <w:t> </w:t>
      </w:r>
      <w:r>
        <w:rPr>
          <w:color w:val="231F20"/>
        </w:rPr>
        <w:t>ageing.</w:t>
      </w:r>
      <w:r>
        <w:rPr>
          <w:color w:val="231F20"/>
          <w:spacing w:val="1"/>
        </w:rPr>
        <w:t> </w:t>
      </w:r>
      <w:r>
        <w:rPr>
          <w:color w:val="231F20"/>
        </w:rPr>
        <w:t>URL</w:t>
      </w:r>
      <w:r>
        <w:rPr>
          <w:color w:val="231F20"/>
          <w:spacing w:val="1"/>
        </w:rPr>
        <w:t> </w:t>
      </w:r>
      <w:r>
        <w:rPr>
          <w:color w:val="231F20"/>
        </w:rPr>
        <w:t>https://www.dosm.</w:t>
      </w:r>
      <w:r>
        <w:rPr>
          <w:color w:val="231F20"/>
          <w:spacing w:val="-47"/>
        </w:rPr>
        <w:t> </w:t>
      </w:r>
      <w:r>
        <w:rPr>
          <w:color w:val="231F20"/>
        </w:rPr>
        <w:t>gov.my/v1/uploads/files/6_Newsletter/Ageing.</w:t>
      </w:r>
      <w:r>
        <w:rPr>
          <w:color w:val="231F20"/>
          <w:spacing w:val="1"/>
        </w:rPr>
        <w:t> </w:t>
      </w:r>
      <w:r>
        <w:rPr>
          <w:color w:val="231F20"/>
        </w:rPr>
        <w:t>pdf</w:t>
      </w:r>
      <w:r>
        <w:rPr>
          <w:color w:val="231F20"/>
          <w:spacing w:val="2"/>
        </w:rPr>
        <w:t> </w:t>
      </w:r>
      <w:r>
        <w:rPr>
          <w:color w:val="231F20"/>
        </w:rPr>
        <w:t>(accessed</w:t>
      </w:r>
      <w:r>
        <w:rPr>
          <w:color w:val="231F20"/>
          <w:spacing w:val="3"/>
        </w:rPr>
        <w:t> </w:t>
      </w:r>
      <w:r>
        <w:rPr>
          <w:color w:val="231F20"/>
        </w:rPr>
        <w:t>mm.dd.yy).</w:t>
      </w:r>
    </w:p>
    <w:p>
      <w:pPr>
        <w:spacing w:line="249" w:lineRule="auto" w:before="5"/>
        <w:ind w:left="728" w:right="119" w:hanging="341"/>
        <w:jc w:val="both"/>
        <w:rPr>
          <w:sz w:val="20"/>
        </w:rPr>
      </w:pPr>
      <w:r>
        <w:rPr>
          <w:color w:val="231F20"/>
          <w:sz w:val="20"/>
        </w:rPr>
        <w:t>Wang,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L.,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Belle,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G.,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Kukull,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W.B.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Larson,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E.B.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2002.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Predictors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functional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9"/>
          <w:sz w:val="20"/>
        </w:rPr>
        <w:t>change: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longitudinal study of nondemented people aged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65 and older. </w:t>
      </w:r>
      <w:r>
        <w:rPr>
          <w:i/>
          <w:color w:val="231F20"/>
          <w:sz w:val="20"/>
        </w:rPr>
        <w:t>Journal of the American Geriatrics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Society</w:t>
      </w:r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50(9)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1525-1534.</w:t>
      </w:r>
    </w:p>
    <w:p>
      <w:pPr>
        <w:spacing w:line="249" w:lineRule="auto" w:before="4"/>
        <w:ind w:left="728" w:right="116" w:hanging="341"/>
        <w:jc w:val="both"/>
        <w:rPr>
          <w:sz w:val="20"/>
        </w:rPr>
      </w:pPr>
      <w:r>
        <w:rPr>
          <w:color w:val="231F20"/>
          <w:sz w:val="20"/>
        </w:rPr>
        <w:t>Woo, J., Ho, S.C. &amp; Yu, A.L.M. 2000. The influence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of income on morbidity, mortality and depen-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dency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elderly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Hong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Kong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Chinese.</w:t>
      </w:r>
      <w:r>
        <w:rPr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Archives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Gerontology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Geriatrics</w:t>
      </w:r>
      <w:r>
        <w:rPr>
          <w:color w:val="231F20"/>
          <w:sz w:val="20"/>
        </w:rPr>
        <w:t>,</w:t>
      </w:r>
      <w:r>
        <w:rPr>
          <w:color w:val="231F20"/>
          <w:spacing w:val="4"/>
          <w:sz w:val="20"/>
        </w:rPr>
        <w:t> </w:t>
      </w:r>
      <w:r>
        <w:rPr>
          <w:b/>
          <w:color w:val="231F20"/>
          <w:sz w:val="20"/>
        </w:rPr>
        <w:t>30(1)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55-61.</w:t>
      </w:r>
    </w:p>
    <w:p>
      <w:pPr>
        <w:pStyle w:val="BodyText"/>
        <w:spacing w:line="249" w:lineRule="auto" w:before="3"/>
        <w:ind w:left="728" w:right="116" w:hanging="341"/>
        <w:jc w:val="both"/>
      </w:pPr>
      <w:r>
        <w:rPr>
          <w:color w:val="231F20"/>
        </w:rPr>
        <w:t>World Health Organization. 2011. World Report on</w:t>
      </w:r>
      <w:r>
        <w:rPr>
          <w:color w:val="231F20"/>
          <w:spacing w:val="1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2011.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Organization,</w:t>
      </w:r>
      <w:r>
        <w:rPr>
          <w:color w:val="231F20"/>
          <w:spacing w:val="1"/>
        </w:rPr>
        <w:t> </w:t>
      </w:r>
      <w:r>
        <w:rPr>
          <w:color w:val="231F20"/>
        </w:rPr>
        <w:t>Geneva.</w:t>
      </w:r>
    </w:p>
    <w:p>
      <w:pPr>
        <w:pStyle w:val="BodyText"/>
        <w:spacing w:line="249" w:lineRule="auto" w:before="3"/>
        <w:ind w:left="728" w:right="110" w:hanging="341"/>
        <w:jc w:val="both"/>
      </w:pPr>
      <w:r>
        <w:rPr>
          <w:color w:val="231F20"/>
        </w:rPr>
        <w:t>World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8"/>
        </w:rPr>
        <w:t> </w:t>
      </w:r>
      <w:r>
        <w:rPr>
          <w:color w:val="231F20"/>
        </w:rPr>
        <w:t>Organization.</w:t>
      </w:r>
      <w:r>
        <w:rPr>
          <w:color w:val="231F20"/>
          <w:spacing w:val="-8"/>
        </w:rPr>
        <w:t> </w:t>
      </w:r>
      <w:r>
        <w:rPr>
          <w:color w:val="231F20"/>
        </w:rPr>
        <w:t>2018.</w:t>
      </w:r>
      <w:r>
        <w:rPr>
          <w:color w:val="231F20"/>
          <w:spacing w:val="-6"/>
        </w:rPr>
        <w:t> </w:t>
      </w:r>
      <w:r>
        <w:rPr>
          <w:color w:val="231F20"/>
        </w:rPr>
        <w:t>Ageing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health.</w:t>
      </w:r>
      <w:r>
        <w:rPr>
          <w:color w:val="231F20"/>
          <w:spacing w:val="-48"/>
        </w:rPr>
        <w:t> </w:t>
      </w:r>
      <w:r>
        <w:rPr>
          <w:color w:val="231F20"/>
        </w:rPr>
        <w:t>URL</w:t>
      </w:r>
      <w:r>
        <w:rPr>
          <w:color w:val="231F20"/>
          <w:spacing w:val="1"/>
        </w:rPr>
        <w:t> </w:t>
      </w:r>
      <w:hyperlink r:id="rId10">
        <w:r>
          <w:rPr>
            <w:color w:val="231F20"/>
            <w:spacing w:val="11"/>
          </w:rPr>
          <w:t>https://www.who.int/news-room/fact-</w:t>
        </w:r>
      </w:hyperlink>
      <w:r>
        <w:rPr>
          <w:color w:val="231F20"/>
          <w:spacing w:val="-47"/>
        </w:rPr>
        <w:t> </w:t>
      </w:r>
      <w:r>
        <w:rPr>
          <w:color w:val="231F20"/>
          <w:spacing w:val="10"/>
        </w:rPr>
        <w:t>sheets/detail/ageing-and-health</w:t>
      </w:r>
      <w:r>
        <w:rPr>
          <w:color w:val="231F20"/>
          <w:spacing w:val="11"/>
        </w:rPr>
        <w:t> (accessed</w:t>
      </w:r>
      <w:r>
        <w:rPr>
          <w:color w:val="231F20"/>
          <w:spacing w:val="-47"/>
        </w:rPr>
        <w:t> </w:t>
      </w:r>
      <w:r>
        <w:rPr>
          <w:color w:val="231F20"/>
        </w:rPr>
        <w:t>mm.dd.yy)</w:t>
      </w:r>
    </w:p>
    <w:p>
      <w:pPr>
        <w:pStyle w:val="BodyText"/>
        <w:spacing w:line="249" w:lineRule="auto" w:before="3"/>
        <w:ind w:left="728" w:right="109" w:hanging="341"/>
        <w:jc w:val="both"/>
      </w:pPr>
      <w:r>
        <w:rPr>
          <w:color w:val="231F20"/>
        </w:rPr>
        <w:t>Zayas, L.E., Wisniewski, A.M. &amp; Kennedy, T. 2013.</w:t>
      </w:r>
      <w:r>
        <w:rPr>
          <w:color w:val="231F20"/>
          <w:spacing w:val="1"/>
        </w:rPr>
        <w:t> </w:t>
      </w:r>
      <w:r>
        <w:rPr>
          <w:color w:val="231F20"/>
        </w:rPr>
        <w:t>Instrumental activity of daily living limitations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supports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clinic</w:t>
      </w:r>
      <w:r>
        <w:rPr>
          <w:color w:val="231F20"/>
          <w:spacing w:val="-5"/>
        </w:rPr>
        <w:t> </w:t>
      </w:r>
      <w:r>
        <w:rPr>
          <w:color w:val="231F20"/>
        </w:rPr>
        <w:t>population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low</w:t>
      </w:r>
      <w:r>
        <w:rPr>
          <w:color w:val="231F20"/>
          <w:spacing w:val="-6"/>
        </w:rPr>
        <w:t> </w:t>
      </w:r>
      <w:r>
        <w:rPr>
          <w:color w:val="231F20"/>
        </w:rPr>
        <w:t>income</w:t>
      </w:r>
      <w:r>
        <w:rPr>
          <w:color w:val="231F20"/>
          <w:spacing w:val="-47"/>
        </w:rPr>
        <w:t> </w:t>
      </w:r>
      <w:r>
        <w:rPr>
          <w:color w:val="231F20"/>
          <w:spacing w:val="9"/>
        </w:rPr>
        <w:t>Puerto</w:t>
      </w:r>
      <w:r>
        <w:rPr>
          <w:color w:val="231F20"/>
          <w:spacing w:val="10"/>
        </w:rPr>
        <w:t> </w:t>
      </w:r>
      <w:r>
        <w:rPr>
          <w:color w:val="231F20"/>
        </w:rPr>
        <w:t>Rican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elderly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adults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chronic</w:t>
      </w:r>
      <w:r>
        <w:rPr>
          <w:color w:val="231F20"/>
          <w:spacing w:val="12"/>
        </w:rPr>
        <w:t> </w:t>
      </w:r>
      <w:r>
        <w:rPr>
          <w:color w:val="231F20"/>
        </w:rPr>
        <w:t>diseases.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American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Geriatrics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Society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61(10)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1789-1795.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33" w:space="115"/>
            <w:col w:w="4792"/>
          </w:cols>
        </w:sectPr>
      </w:pPr>
    </w:p>
    <w:p>
      <w:pPr>
        <w:pStyle w:val="BodyText"/>
        <w:spacing w:before="4"/>
        <w:rPr>
          <w:sz w:val="17"/>
        </w:rPr>
      </w:pPr>
    </w:p>
    <w:sectPr>
      <w:headerReference w:type="even" r:id="rId11"/>
      <w:pgSz w:w="11900" w:h="16840"/>
      <w:pgMar w:header="0" w:footer="0" w:top="160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09999pt;margin-top:43.498867pt;width:16.8pt;height:13.1pt;mso-position-horizontal-relative:page;mso-position-vertical-relative:page;z-index:-16508928" type="#_x0000_t202" id="docshape3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1.389999pt;margin-top:45.281094pt;width:278.150pt;height:10.9pt;mso-position-horizontal-relative:page;mso-position-vertical-relative:page;z-index:-1650841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ACTIVITIES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DAILY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LIVING</w:t>
                </w:r>
                <w:r>
                  <w:rPr>
                    <w:color w:val="231F20"/>
                    <w:spacing w:val="52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(IADL)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DISABILITY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AMONG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ELDERLY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9.890015pt;margin-top:43.498867pt;width:16.8pt;height:13.1pt;mso-position-horizontal-relative:page;mso-position-vertical-relative:page;z-index:-16507904" type="#_x0000_t202" id="docshape5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5.610001pt;margin-top:45.281094pt;width:278.150pt;height:10.9pt;mso-position-horizontal-relative:page;mso-position-vertical-relative:page;z-index:-16507392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ACTIVITIES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DAILY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LIVING</w:t>
                </w:r>
                <w:r>
                  <w:rPr>
                    <w:color w:val="231F20"/>
                    <w:spacing w:val="52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(IADL)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DISABILITY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AMONG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ELDERLY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87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387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89"/>
      <w:ind w:left="965" w:right="697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a.hamid@usm.my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un.org/development/desa/" TargetMode="External"/><Relationship Id="rId10" Type="http://schemas.openxmlformats.org/officeDocument/2006/relationships/hyperlink" Target="http://www.who.int/news-room/fact-" TargetMode="External"/><Relationship Id="rId11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037-045   Noor Aman Hamid.pmd</dc:title>
  <dcterms:created xsi:type="dcterms:W3CDTF">2021-12-07T09:53:33Z</dcterms:created>
  <dcterms:modified xsi:type="dcterms:W3CDTF">2021-12-07T09:53:33Z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2021-12-07T00:00:00Z</vt:filetime>
  </property>
</Properties>
</file>